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8" w:lineRule="auto"/>
        <w:rPr>
          <w:rFonts w:ascii="Arial"/>
          <w:sz w:val="21"/>
        </w:rPr>
      </w:pPr>
      <w:r/>
    </w:p>
    <w:p>
      <w:pPr>
        <w:spacing w:before="325" w:line="219" w:lineRule="auto"/>
        <w:jc w:val="right"/>
        <w:rPr>
          <w:rFonts w:ascii="SimSun" w:hAnsi="SimSun" w:eastAsia="SimSun" w:cs="SimSun"/>
          <w:sz w:val="100"/>
          <w:szCs w:val="100"/>
        </w:rPr>
      </w:pPr>
      <w:r>
        <w:rPr>
          <w:rFonts w:ascii="SimSun" w:hAnsi="SimSun" w:eastAsia="SimSun" w:cs="SimSun"/>
          <w:sz w:val="100"/>
          <w:szCs w:val="100"/>
          <w:b/>
          <w:bCs/>
          <w:color w:val="F9151D"/>
          <w:spacing w:val="-70"/>
        </w:rPr>
        <w:t>黑</w:t>
      </w:r>
      <w:r>
        <w:rPr>
          <w:rFonts w:ascii="SimSun" w:hAnsi="SimSun" w:eastAsia="SimSun" w:cs="SimSun"/>
          <w:sz w:val="100"/>
          <w:szCs w:val="100"/>
          <w:color w:val="F9151D"/>
          <w:spacing w:val="-147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color w:val="F9151D"/>
          <w:spacing w:val="-70"/>
        </w:rPr>
        <w:t>龙</w:t>
      </w:r>
      <w:r>
        <w:rPr>
          <w:rFonts w:ascii="SimSun" w:hAnsi="SimSun" w:eastAsia="SimSun" w:cs="SimSun"/>
          <w:sz w:val="100"/>
          <w:szCs w:val="100"/>
          <w:color w:val="F9151D"/>
          <w:spacing w:val="-151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color w:val="F9151D"/>
          <w:spacing w:val="-70"/>
        </w:rPr>
        <w:t>江</w:t>
      </w:r>
      <w:r>
        <w:rPr>
          <w:rFonts w:ascii="SimSun" w:hAnsi="SimSun" w:eastAsia="SimSun" w:cs="SimSun"/>
          <w:sz w:val="100"/>
          <w:szCs w:val="100"/>
          <w:color w:val="F9151D"/>
          <w:spacing w:val="-139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color w:val="F9151D"/>
          <w:spacing w:val="-70"/>
        </w:rPr>
        <w:t>省</w:t>
      </w:r>
      <w:r>
        <w:rPr>
          <w:rFonts w:ascii="SimSun" w:hAnsi="SimSun" w:eastAsia="SimSun" w:cs="SimSun"/>
          <w:sz w:val="100"/>
          <w:szCs w:val="100"/>
          <w:color w:val="F9151D"/>
          <w:spacing w:val="-142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color w:val="F9151D"/>
          <w:spacing w:val="-69"/>
        </w:rPr>
        <w:t>教</w:t>
      </w:r>
      <w:r>
        <w:rPr>
          <w:rFonts w:ascii="SimSun" w:hAnsi="SimSun" w:eastAsia="SimSun" w:cs="SimSun"/>
          <w:sz w:val="100"/>
          <w:szCs w:val="100"/>
          <w:color w:val="F9151D"/>
          <w:spacing w:val="-116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color w:val="F9151D"/>
          <w:spacing w:val="-69"/>
        </w:rPr>
        <w:t>育</w:t>
      </w:r>
      <w:r>
        <w:rPr>
          <w:rFonts w:ascii="SimSun" w:hAnsi="SimSun" w:eastAsia="SimSun" w:cs="SimSun"/>
          <w:sz w:val="100"/>
          <w:szCs w:val="100"/>
          <w:color w:val="F9151D"/>
          <w:spacing w:val="-139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color w:val="F9151D"/>
          <w:spacing w:val="-51"/>
        </w:rPr>
        <w:t>厅</w:t>
      </w:r>
    </w:p>
    <w:p>
      <w:pPr>
        <w:spacing w:before="66" w:line="60" w:lineRule="exact"/>
        <w:rPr/>
      </w:pPr>
      <w:r>
        <w:rPr>
          <w:position w:val="-1"/>
        </w:rPr>
        <w:drawing>
          <wp:inline distT="0" distB="0" distL="0" distR="0">
            <wp:extent cx="5632468" cy="380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2468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05" w:right="407" w:hanging="79"/>
        <w:spacing w:before="259" w:line="22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"/>
        </w:rPr>
        <w:t>黑龙江省教育厅关于做好2023—202</w:t>
      </w:r>
      <w:r>
        <w:rPr>
          <w:rFonts w:ascii="SimSun" w:hAnsi="SimSun" w:eastAsia="SimSun" w:cs="SimSun"/>
          <w:sz w:val="45"/>
          <w:szCs w:val="45"/>
          <w:b/>
          <w:bCs/>
          <w:spacing w:val="-4"/>
        </w:rPr>
        <w:t>4学年</w:t>
      </w:r>
      <w:r>
        <w:rPr>
          <w:rFonts w:ascii="SimSun" w:hAnsi="SimSun" w:eastAsia="SimSun" w:cs="SimSun"/>
          <w:sz w:val="45"/>
          <w:szCs w:val="4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高校实验室信息统计数据报送工作的通知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10"/>
        <w:spacing w:before="114" w:line="222" w:lineRule="auto"/>
        <w:rPr/>
      </w:pPr>
      <w:r>
        <w:rPr>
          <w:spacing w:val="-33"/>
        </w:rPr>
        <w:t>各普通高等学校：</w:t>
      </w:r>
    </w:p>
    <w:p>
      <w:pPr>
        <w:pStyle w:val="BodyText"/>
        <w:ind w:left="210" w:right="347" w:firstLine="649"/>
        <w:spacing w:before="130" w:line="286" w:lineRule="auto"/>
        <w:jc w:val="both"/>
        <w:rPr/>
      </w:pPr>
      <w:r>
        <w:rPr>
          <w:spacing w:val="-31"/>
        </w:rPr>
        <w:t>为掌握和了解我省高等学校实验室建设、实验队伍、实</w:t>
      </w:r>
      <w:r>
        <w:rPr>
          <w:spacing w:val="1"/>
        </w:rPr>
        <w:t xml:space="preserve"> </w:t>
      </w:r>
      <w:r>
        <w:rPr>
          <w:spacing w:val="-31"/>
        </w:rPr>
        <w:t>验教学及仪器设备等方面的状况和发展趋势，为高等教育改</w:t>
      </w:r>
      <w:r>
        <w:rPr>
          <w:spacing w:val="4"/>
        </w:rPr>
        <w:t xml:space="preserve"> </w:t>
      </w:r>
      <w:r>
        <w:rPr>
          <w:spacing w:val="-29"/>
        </w:rPr>
        <w:t>革与发展决策提供依据，按照《教育部办公厅关于报送2023</w:t>
      </w:r>
      <w:r>
        <w:rPr>
          <w:spacing w:val="12"/>
        </w:rPr>
        <w:t xml:space="preserve"> </w:t>
      </w:r>
      <w:r>
        <w:rPr>
          <w:spacing w:val="-22"/>
        </w:rPr>
        <w:t>—2024学年高等学校实验室信息统计数据的通知》(教高厅</w:t>
      </w:r>
      <w:r>
        <w:rPr>
          <w:spacing w:val="1"/>
        </w:rPr>
        <w:t xml:space="preserve"> </w:t>
      </w:r>
      <w:r>
        <w:rPr>
          <w:spacing w:val="2"/>
        </w:rPr>
        <w:t>函〔2024〕7号)(附件1)要求，将于近期开展我省</w:t>
      </w:r>
      <w:r>
        <w:rPr>
          <w:spacing w:val="1"/>
        </w:rPr>
        <w:t>2023</w:t>
      </w:r>
      <w:r>
        <w:rPr/>
        <w:t xml:space="preserve"> </w:t>
      </w:r>
      <w:r>
        <w:rPr>
          <w:spacing w:val="-28"/>
        </w:rPr>
        <w:t>—2024学年高等学校实验室信息统计数据报送工</w:t>
      </w:r>
      <w:r>
        <w:rPr>
          <w:spacing w:val="-29"/>
        </w:rPr>
        <w:t>作，现就有</w:t>
      </w:r>
      <w:r>
        <w:rPr/>
        <w:t xml:space="preserve"> </w:t>
      </w:r>
      <w:r>
        <w:rPr>
          <w:spacing w:val="-35"/>
        </w:rPr>
        <w:t>关事项通知如下：</w:t>
      </w:r>
    </w:p>
    <w:p>
      <w:pPr>
        <w:ind w:left="864"/>
        <w:spacing w:before="123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35"/>
        </w:rPr>
        <w:t>一</w:t>
      </w:r>
      <w:r>
        <w:rPr>
          <w:rFonts w:ascii="SimHei" w:hAnsi="SimHei" w:eastAsia="SimHei" w:cs="SimHei"/>
          <w:sz w:val="34"/>
          <w:szCs w:val="34"/>
          <w:spacing w:val="-71"/>
        </w:rPr>
        <w:t xml:space="preserve"> </w:t>
      </w:r>
      <w:r>
        <w:rPr>
          <w:rFonts w:ascii="SimHei" w:hAnsi="SimHei" w:eastAsia="SimHei" w:cs="SimHei"/>
          <w:sz w:val="34"/>
          <w:szCs w:val="34"/>
          <w:b/>
          <w:bCs/>
          <w:spacing w:val="-35"/>
        </w:rPr>
        <w:t>、报送对象</w:t>
      </w:r>
    </w:p>
    <w:p>
      <w:pPr>
        <w:pStyle w:val="BodyText"/>
        <w:ind w:left="210" w:right="205" w:firstLine="649"/>
        <w:spacing w:before="133" w:line="280" w:lineRule="auto"/>
        <w:rPr/>
      </w:pPr>
      <w:r>
        <w:rPr>
          <w:spacing w:val="-24"/>
        </w:rPr>
        <w:t>全省普通本科高校(含独立学院)、本科层次职业学校、</w:t>
      </w:r>
      <w:r>
        <w:rPr>
          <w:spacing w:val="3"/>
        </w:rPr>
        <w:t xml:space="preserve"> </w:t>
      </w:r>
      <w:r>
        <w:rPr>
          <w:spacing w:val="-16"/>
        </w:rPr>
        <w:t>高职(专科)学校和独立建制的成人高等学校。</w:t>
      </w:r>
    </w:p>
    <w:p>
      <w:pPr>
        <w:ind w:left="864"/>
        <w:spacing w:before="43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二、报送方式</w:t>
      </w:r>
    </w:p>
    <w:p>
      <w:pPr>
        <w:pStyle w:val="BodyText"/>
        <w:ind w:left="210" w:right="340" w:firstLine="649"/>
        <w:spacing w:before="169" w:line="289" w:lineRule="auto"/>
        <w:rPr>
          <w:sz w:val="34"/>
          <w:szCs w:val="34"/>
        </w:rPr>
      </w:pPr>
      <w:r>
        <w:rPr>
          <w:sz w:val="34"/>
          <w:szCs w:val="34"/>
          <w:spacing w:val="-7"/>
        </w:rPr>
        <w:t>本次高等学校实验室信息统计数据报送采取网络和函</w:t>
      </w:r>
      <w:r>
        <w:rPr>
          <w:sz w:val="34"/>
          <w:szCs w:val="34"/>
          <w:spacing w:val="9"/>
        </w:rPr>
        <w:t xml:space="preserve"> </w:t>
      </w:r>
      <w:r>
        <w:rPr>
          <w:sz w:val="34"/>
          <w:szCs w:val="34"/>
          <w:spacing w:val="-20"/>
        </w:rPr>
        <w:t>件报送相结合的方式。</w:t>
      </w:r>
    </w:p>
    <w:p>
      <w:pPr>
        <w:ind w:left="1024"/>
        <w:spacing w:before="45" w:line="232" w:lineRule="auto"/>
        <w:outlineLvl w:val="0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b/>
          <w:bCs/>
          <w:spacing w:val="8"/>
        </w:rPr>
        <w:t>(一)网络报送</w:t>
      </w:r>
    </w:p>
    <w:p>
      <w:pPr>
        <w:pStyle w:val="BodyText"/>
        <w:ind w:left="210" w:right="355" w:firstLine="649"/>
        <w:spacing w:before="128" w:line="260" w:lineRule="auto"/>
        <w:rPr>
          <w:rFonts w:ascii="Times New Roman" w:hAnsi="Times New Roman" w:eastAsia="Times New Roman" w:cs="Times New Roman"/>
        </w:rPr>
      </w:pPr>
      <w:r>
        <w:rPr/>
        <w:t>请各高校在9月1日至9月29日之间，登陆“高等学</w:t>
      </w:r>
      <w:r>
        <w:rPr>
          <w:spacing w:val="5"/>
        </w:rPr>
        <w:t xml:space="preserve"> </w:t>
      </w:r>
      <w:r>
        <w:rPr>
          <w:spacing w:val="-14"/>
        </w:rPr>
        <w:t>校实验室信息统计系统”(网址：</w:t>
      </w:r>
      <w:hyperlink w:history="true" r:id="rId3">
        <w:r>
          <w:rPr>
            <w:rFonts w:ascii="Times New Roman" w:hAnsi="Times New Roman" w:eastAsia="Times New Roman" w:cs="Times New Roman"/>
            <w:spacing w:val="-14"/>
          </w:rPr>
          <w:t>http://systj.buct.edu.cn:81</w:t>
        </w:r>
      </w:hyperlink>
      <w:r>
        <w:rPr>
          <w:rFonts w:ascii="Times New Roman" w:hAnsi="Times New Roman" w:eastAsia="Times New Roman" w:cs="Times New Roman"/>
          <w:spacing w:val="-14"/>
        </w:rPr>
        <w:t>),</w:t>
      </w:r>
    </w:p>
    <w:p>
      <w:pPr>
        <w:spacing w:line="260" w:lineRule="auto"/>
        <w:sectPr>
          <w:footerReference w:type="default" r:id="rId1"/>
          <w:pgSz w:w="11920" w:h="16840"/>
          <w:pgMar w:top="1431" w:right="1579" w:bottom="1900" w:left="1469" w:header="0" w:footer="1839" w:gutter="0"/>
        </w:sectPr>
        <w:rPr>
          <w:rFonts w:ascii="Times New Roman" w:hAnsi="Times New Roman" w:eastAsia="Times New Roman" w:cs="Times New Roman"/>
        </w:rPr>
      </w:pPr>
    </w:p>
    <w:p>
      <w:pPr>
        <w:pStyle w:val="BodyText"/>
        <w:ind w:right="93"/>
        <w:spacing w:before="123" w:line="319" w:lineRule="auto"/>
        <w:rPr>
          <w:sz w:val="33"/>
          <w:szCs w:val="33"/>
        </w:rPr>
      </w:pPr>
      <w:r>
        <w:rPr>
          <w:sz w:val="33"/>
          <w:szCs w:val="33"/>
          <w:spacing w:val="-15"/>
        </w:rPr>
        <w:t>下载“高等学校实验室信息统计检测系统”</w:t>
      </w:r>
      <w:r>
        <w:rPr>
          <w:rFonts w:ascii="Times New Roman" w:hAnsi="Times New Roman" w:eastAsia="Times New Roman" w:cs="Times New Roman"/>
          <w:sz w:val="33"/>
          <w:szCs w:val="33"/>
          <w:spacing w:val="-15"/>
        </w:rPr>
        <w:t>(V2024</w:t>
      </w:r>
      <w:r>
        <w:rPr>
          <w:rFonts w:ascii="Times New Roman" w:hAnsi="Times New Roman" w:eastAsia="Times New Roman" w:cs="Times New Roman"/>
          <w:sz w:val="33"/>
          <w:szCs w:val="33"/>
          <w:spacing w:val="39"/>
          <w:w w:val="101"/>
        </w:rPr>
        <w:t xml:space="preserve"> </w:t>
      </w:r>
      <w:r>
        <w:rPr>
          <w:sz w:val="33"/>
          <w:szCs w:val="33"/>
          <w:spacing w:val="-15"/>
        </w:rPr>
        <w:t>单机版),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2"/>
        </w:rPr>
        <w:t>对报送数据进行检测，经检测无误后登录系统报送相关数</w:t>
      </w:r>
    </w:p>
    <w:p>
      <w:pPr>
        <w:pStyle w:val="BodyText"/>
        <w:spacing w:before="50" w:line="219" w:lineRule="auto"/>
        <w:rPr>
          <w:sz w:val="33"/>
          <w:szCs w:val="33"/>
        </w:rPr>
      </w:pPr>
      <w:r>
        <w:rPr>
          <w:sz w:val="33"/>
          <w:szCs w:val="33"/>
          <w:spacing w:val="-13"/>
        </w:rPr>
        <w:t>据，省教育厅将对各高校报送数据进行在线审核。</w:t>
      </w:r>
    </w:p>
    <w:p>
      <w:pPr>
        <w:ind w:left="804"/>
        <w:spacing w:before="151" w:line="227" w:lineRule="auto"/>
        <w:outlineLvl w:val="0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13"/>
        </w:rPr>
        <w:t>(二)函件报送</w:t>
      </w:r>
    </w:p>
    <w:p>
      <w:pPr>
        <w:pStyle w:val="BodyText"/>
        <w:ind w:right="80" w:firstLine="649"/>
        <w:spacing w:before="152" w:line="305" w:lineRule="auto"/>
        <w:jc w:val="both"/>
        <w:rPr>
          <w:sz w:val="33"/>
          <w:szCs w:val="33"/>
        </w:rPr>
      </w:pPr>
      <w:r>
        <w:rPr>
          <w:sz w:val="33"/>
          <w:szCs w:val="33"/>
          <w:spacing w:val="1"/>
        </w:rPr>
        <w:t>各高校须在10月31日前，登录“高等学校实验室信息</w:t>
      </w:r>
      <w:r>
        <w:rPr>
          <w:sz w:val="33"/>
          <w:szCs w:val="33"/>
          <w:spacing w:val="18"/>
        </w:rPr>
        <w:t xml:space="preserve"> </w:t>
      </w:r>
      <w:r>
        <w:rPr>
          <w:sz w:val="33"/>
          <w:szCs w:val="33"/>
          <w:spacing w:val="-7"/>
        </w:rPr>
        <w:t>统计系统”将审核通过的基表二、三、七和综表一</w:t>
      </w:r>
      <w:r>
        <w:rPr>
          <w:sz w:val="33"/>
          <w:szCs w:val="33"/>
          <w:spacing w:val="-8"/>
        </w:rPr>
        <w:t>、二(加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9"/>
        </w:rPr>
        <w:t>盖学校公章的</w:t>
      </w:r>
      <w:r>
        <w:rPr>
          <w:rFonts w:ascii="Times New Roman" w:hAnsi="Times New Roman" w:eastAsia="Times New Roman" w:cs="Times New Roman"/>
          <w:sz w:val="33"/>
          <w:szCs w:val="33"/>
          <w:spacing w:val="-9"/>
        </w:rPr>
        <w:t>PDF</w:t>
      </w:r>
      <w:r>
        <w:rPr>
          <w:sz w:val="33"/>
          <w:szCs w:val="33"/>
          <w:spacing w:val="-9"/>
        </w:rPr>
        <w:t>版)发送至邮箱：</w:t>
      </w:r>
      <w:r>
        <w:rPr>
          <w:rFonts w:ascii="Times New Roman" w:hAnsi="Times New Roman" w:eastAsia="Times New Roman" w:cs="Times New Roman"/>
          <w:sz w:val="33"/>
          <w:szCs w:val="33"/>
          <w:spacing w:val="-9"/>
        </w:rPr>
        <w:t>zhangliucheng@126.com,</w:t>
      </w:r>
      <w:r>
        <w:rPr>
          <w:rFonts w:ascii="Times New Roman" w:hAnsi="Times New Roman" w:eastAsia="Times New Roman" w:cs="Times New Roman"/>
          <w:sz w:val="33"/>
          <w:szCs w:val="33"/>
          <w:spacing w:val="5"/>
        </w:rPr>
        <w:t xml:space="preserve">  </w:t>
      </w:r>
      <w:r>
        <w:rPr>
          <w:sz w:val="33"/>
          <w:szCs w:val="33"/>
          <w:spacing w:val="-20"/>
        </w:rPr>
        <w:t>无需邮寄纸质版。</w:t>
      </w:r>
    </w:p>
    <w:p>
      <w:pPr>
        <w:ind w:left="654"/>
        <w:spacing w:before="51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三、报送内容</w:t>
      </w:r>
    </w:p>
    <w:p>
      <w:pPr>
        <w:pStyle w:val="BodyText"/>
        <w:ind w:right="45" w:firstLine="649"/>
        <w:spacing w:before="142" w:line="304" w:lineRule="auto"/>
        <w:jc w:val="both"/>
        <w:rPr>
          <w:sz w:val="33"/>
          <w:szCs w:val="33"/>
        </w:rPr>
      </w:pPr>
      <w:r>
        <w:rPr>
          <w:sz w:val="33"/>
          <w:szCs w:val="33"/>
          <w:spacing w:val="-13"/>
        </w:rPr>
        <w:t>按照《高等学校实验室信息统计调查制度》要求，各校</w:t>
      </w:r>
      <w:r>
        <w:rPr>
          <w:sz w:val="33"/>
          <w:szCs w:val="33"/>
          <w:spacing w:val="11"/>
        </w:rPr>
        <w:t xml:space="preserve"> </w:t>
      </w:r>
      <w:r>
        <w:rPr>
          <w:sz w:val="33"/>
          <w:szCs w:val="33"/>
          <w:spacing w:val="7"/>
        </w:rPr>
        <w:t>应报送9个表单数据。普通本科高校(含独立学院)和本科</w:t>
      </w:r>
      <w:r>
        <w:rPr>
          <w:sz w:val="33"/>
          <w:szCs w:val="33"/>
          <w:spacing w:val="6"/>
        </w:rPr>
        <w:t xml:space="preserve"> </w:t>
      </w:r>
      <w:r>
        <w:rPr>
          <w:sz w:val="33"/>
          <w:szCs w:val="33"/>
          <w:spacing w:val="5"/>
        </w:rPr>
        <w:t>层次职业学校须报送7个基表和综表一；高职(专科)院校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13"/>
        </w:rPr>
        <w:t>和独立建制的成人高等学校报送基表一、二、三、七和综表</w:t>
      </w:r>
      <w:r>
        <w:rPr>
          <w:sz w:val="33"/>
          <w:szCs w:val="33"/>
          <w:spacing w:val="6"/>
        </w:rPr>
        <w:t xml:space="preserve"> </w:t>
      </w:r>
      <w:r>
        <w:rPr>
          <w:sz w:val="33"/>
          <w:szCs w:val="33"/>
          <w:spacing w:val="-13"/>
        </w:rPr>
        <w:t>二。其中，基表四中“实验所属学科”、基表五和基表六中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-4"/>
        </w:rPr>
        <w:t>“所属学科”,须依据最新版的《普通高等学校本科专业目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22"/>
        </w:rPr>
        <w:t>录(2024版)》和《职业教育专业目录(2021版)》填写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-18"/>
        </w:rPr>
        <w:t>本科专业代码前四位。</w:t>
      </w:r>
    </w:p>
    <w:p>
      <w:pPr>
        <w:ind w:left="654"/>
        <w:spacing w:before="101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5"/>
        </w:rPr>
        <w:t>四、工作要求</w:t>
      </w:r>
    </w:p>
    <w:p>
      <w:pPr>
        <w:pStyle w:val="BodyText"/>
        <w:ind w:right="44" w:firstLine="799"/>
        <w:spacing w:before="187" w:line="278" w:lineRule="auto"/>
        <w:rPr>
          <w:sz w:val="33"/>
          <w:szCs w:val="33"/>
        </w:rPr>
      </w:pPr>
      <w:r>
        <w:rPr>
          <w:sz w:val="33"/>
          <w:szCs w:val="33"/>
          <w:spacing w:val="-3"/>
        </w:rPr>
        <w:t>(一)各高校要认真阅读报送要求和填表说明，及时更</w:t>
      </w:r>
      <w:r>
        <w:rPr>
          <w:sz w:val="33"/>
          <w:szCs w:val="33"/>
          <w:spacing w:val="1"/>
        </w:rPr>
        <w:t xml:space="preserve"> </w:t>
      </w:r>
      <w:r>
        <w:rPr>
          <w:sz w:val="33"/>
          <w:szCs w:val="33"/>
          <w:spacing w:val="1"/>
        </w:rPr>
        <w:t>新“高等学校实验室信息统计系统”发布的</w:t>
      </w:r>
      <w:r>
        <w:rPr>
          <w:sz w:val="33"/>
          <w:szCs w:val="33"/>
        </w:rPr>
        <w:t>2024年度最新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4"/>
        </w:rPr>
        <w:t>检测软件，加强数据审核，确保数据的真实性和完整性。</w:t>
      </w:r>
    </w:p>
    <w:p>
      <w:pPr>
        <w:pStyle w:val="BodyText"/>
        <w:ind w:firstLine="799"/>
        <w:spacing w:before="153" w:line="279" w:lineRule="auto"/>
        <w:rPr>
          <w:sz w:val="33"/>
          <w:szCs w:val="33"/>
        </w:rPr>
      </w:pPr>
      <w:r>
        <w:rPr>
          <w:sz w:val="33"/>
          <w:szCs w:val="33"/>
          <w:spacing w:val="-3"/>
        </w:rPr>
        <w:t>(二)请各高校在“高等学校实验室信息统计系统”中</w:t>
      </w:r>
      <w:r>
        <w:rPr>
          <w:sz w:val="33"/>
          <w:szCs w:val="33"/>
          <w:spacing w:val="1"/>
        </w:rPr>
        <w:t xml:space="preserve"> </w:t>
      </w:r>
      <w:r>
        <w:rPr>
          <w:sz w:val="33"/>
          <w:szCs w:val="33"/>
          <w:spacing w:val="1"/>
        </w:rPr>
        <w:t>及时更新联系人信息。并于9月5日之前将</w:t>
      </w:r>
      <w:r>
        <w:rPr>
          <w:sz w:val="33"/>
          <w:szCs w:val="33"/>
        </w:rPr>
        <w:t>《高等学校实验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2"/>
        </w:rPr>
        <w:t>室信息统计工作联系人信息表》(附件2)发送至工作邮箱。</w:t>
      </w:r>
    </w:p>
    <w:p>
      <w:pPr>
        <w:spacing w:line="279" w:lineRule="auto"/>
        <w:sectPr>
          <w:footerReference w:type="default" r:id="rId4"/>
          <w:pgSz w:w="11920" w:h="16840"/>
          <w:pgMar w:top="1431" w:right="1774" w:bottom="400" w:left="1780" w:header="0" w:footer="0" w:gutter="0"/>
        </w:sectPr>
        <w:rPr>
          <w:sz w:val="33"/>
          <w:szCs w:val="33"/>
        </w:rPr>
      </w:pPr>
    </w:p>
    <w:p>
      <w:pPr>
        <w:pStyle w:val="BodyText"/>
        <w:ind w:left="12" w:right="139" w:firstLine="769"/>
        <w:spacing w:before="162" w:line="320" w:lineRule="auto"/>
        <w:jc w:val="both"/>
        <w:rPr>
          <w:sz w:val="32"/>
          <w:szCs w:val="32"/>
        </w:rPr>
      </w:pPr>
      <w:r>
        <w:rPr>
          <w:sz w:val="32"/>
          <w:szCs w:val="32"/>
          <w:spacing w:val="5"/>
        </w:rPr>
        <w:t>(三)请各高校及时登录“高等学校实验室信息统计系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3"/>
        </w:rPr>
        <w:t>统”下载本年度统计工作的报表表样、检测软件、填报说明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0"/>
        </w:rPr>
        <w:t>及相关帮助文件。</w:t>
      </w:r>
    </w:p>
    <w:p>
      <w:pPr>
        <w:pStyle w:val="BodyText"/>
        <w:ind w:left="12" w:right="209" w:firstLine="629"/>
        <w:spacing w:before="53" w:line="292" w:lineRule="auto"/>
        <w:rPr>
          <w:rFonts w:ascii="SimSun" w:hAnsi="SimSun" w:eastAsia="SimSun" w:cs="SimSun"/>
          <w:sz w:val="32"/>
          <w:szCs w:val="32"/>
        </w:rPr>
      </w:pPr>
      <w:r>
        <w:rPr>
          <w:sz w:val="32"/>
          <w:szCs w:val="32"/>
          <w:spacing w:val="23"/>
        </w:rPr>
        <w:t>高等教育处联系人：刘灵芝，章刘成，联系电话：</w:t>
      </w:r>
      <w:r>
        <w:rPr>
          <w:sz w:val="32"/>
          <w:szCs w:val="32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0451-53623756,19524511118</w:t>
      </w:r>
      <w:r>
        <w:rPr>
          <w:rFonts w:ascii="SimSun" w:hAnsi="SimSun" w:eastAsia="SimSun" w:cs="SimSun"/>
          <w:sz w:val="32"/>
          <w:szCs w:val="32"/>
          <w:spacing w:val="-1"/>
        </w:rPr>
        <w:t>。</w:t>
      </w:r>
    </w:p>
    <w:p>
      <w:pPr>
        <w:pStyle w:val="BodyText"/>
        <w:ind w:left="12" w:right="209" w:firstLine="629"/>
        <w:spacing w:before="113" w:line="308" w:lineRule="auto"/>
        <w:rPr>
          <w:rFonts w:ascii="SimSun" w:hAnsi="SimSun" w:eastAsia="SimSun" w:cs="SimSun"/>
          <w:sz w:val="32"/>
          <w:szCs w:val="32"/>
        </w:rPr>
      </w:pPr>
      <w:r>
        <w:rPr>
          <w:sz w:val="32"/>
          <w:szCs w:val="32"/>
          <w:spacing w:val="8"/>
        </w:rPr>
        <w:t>职业教育与成人教育处联系人：郑怀东，联系电话：</w:t>
      </w:r>
      <w:r>
        <w:rPr>
          <w:sz w:val="32"/>
          <w:szCs w:val="32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0451-82578298</w:t>
      </w:r>
      <w:r>
        <w:rPr>
          <w:rFonts w:ascii="SimSun" w:hAnsi="SimSun" w:eastAsia="SimSun" w:cs="SimSun"/>
          <w:sz w:val="32"/>
          <w:szCs w:val="32"/>
          <w:spacing w:val="-1"/>
        </w:rPr>
        <w:t>。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1952" w:right="269" w:hanging="1310"/>
        <w:spacing w:before="104" w:line="307" w:lineRule="auto"/>
        <w:rPr>
          <w:sz w:val="32"/>
          <w:szCs w:val="32"/>
        </w:rPr>
      </w:pPr>
      <w:r>
        <w:rPr>
          <w:sz w:val="32"/>
          <w:szCs w:val="32"/>
          <w:spacing w:val="4"/>
        </w:rPr>
        <w:t>附件：1.教育部办公厅关于报送2023—2024学年高等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-4"/>
        </w:rPr>
        <w:t>学校实验室信息统计数据的通知</w:t>
      </w:r>
    </w:p>
    <w:p>
      <w:pPr>
        <w:pStyle w:val="BodyText"/>
        <w:ind w:left="1641"/>
        <w:spacing w:before="42" w:line="220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2.高等学校实验室信息统计工作联系人信息表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982" w:right="127" w:hanging="120"/>
        <w:spacing w:before="104" w:line="291" w:lineRule="auto"/>
        <w:rPr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3690590</wp:posOffset>
            </wp:positionH>
            <wp:positionV relativeFrom="paragraph">
              <wp:posOffset>-696099</wp:posOffset>
            </wp:positionV>
            <wp:extent cx="1644711" cy="162561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4711" cy="162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5"/>
        </w:rPr>
        <w:t>黑龙江省教育厅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41"/>
        </w:rPr>
        <w:t>2024年9月1日</w:t>
      </w:r>
    </w:p>
    <w:p>
      <w:pPr>
        <w:spacing w:line="291" w:lineRule="auto"/>
        <w:sectPr>
          <w:pgSz w:w="11920" w:h="16840"/>
          <w:pgMar w:top="1431" w:right="1729" w:bottom="400" w:left="1788" w:header="0" w:footer="0" w:gutter="0"/>
        </w:sectPr>
        <w:rPr>
          <w:sz w:val="32"/>
          <w:szCs w:val="32"/>
        </w:rPr>
      </w:pP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3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2"/>
        </w:rPr>
        <w:t>附件2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2221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8"/>
        </w:rPr>
        <w:t>高等学校实验室信息统计工作联系人信息表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before="104" w:line="232" w:lineRule="auto"/>
        <w:jc w:val="righ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  <w:position w:val="-1"/>
        </w:rPr>
        <w:t>填报单位：(加盖公章)</w:t>
      </w:r>
      <w:r>
        <w:rPr>
          <w:rFonts w:ascii="KaiTi" w:hAnsi="KaiTi" w:eastAsia="KaiTi" w:cs="KaiTi"/>
          <w:sz w:val="32"/>
          <w:szCs w:val="32"/>
          <w:spacing w:val="6"/>
          <w:position w:val="-1"/>
        </w:rPr>
        <w:t xml:space="preserve">          </w:t>
      </w:r>
      <w:r>
        <w:rPr>
          <w:rFonts w:ascii="KaiTi" w:hAnsi="KaiTi" w:eastAsia="KaiTi" w:cs="KaiTi"/>
          <w:sz w:val="32"/>
          <w:szCs w:val="32"/>
          <w:spacing w:val="-6"/>
        </w:rPr>
        <w:t>填表人：</w:t>
      </w:r>
      <w:r>
        <w:rPr>
          <w:rFonts w:ascii="KaiTi" w:hAnsi="KaiTi" w:eastAsia="KaiTi" w:cs="KaiTi"/>
          <w:sz w:val="32"/>
          <w:szCs w:val="32"/>
          <w:spacing w:val="14"/>
        </w:rPr>
        <w:t xml:space="preserve">      </w:t>
      </w:r>
      <w:r>
        <w:rPr>
          <w:rFonts w:ascii="KaiTi" w:hAnsi="KaiTi" w:eastAsia="KaiTi" w:cs="KaiTi"/>
          <w:sz w:val="32"/>
          <w:szCs w:val="32"/>
          <w:spacing w:val="-6"/>
          <w:position w:val="1"/>
        </w:rPr>
        <w:t>联系方式：</w:t>
      </w:r>
      <w:r>
        <w:rPr>
          <w:rFonts w:ascii="KaiTi" w:hAnsi="KaiTi" w:eastAsia="KaiTi" w:cs="KaiTi"/>
          <w:sz w:val="32"/>
          <w:szCs w:val="32"/>
          <w:spacing w:val="-6"/>
          <w:position w:val="1"/>
        </w:rPr>
        <w:t xml:space="preserve"> </w:t>
      </w:r>
      <w:r>
        <w:rPr>
          <w:rFonts w:ascii="KaiTi" w:hAnsi="KaiTi" w:eastAsia="KaiTi" w:cs="KaiTi"/>
          <w:sz w:val="32"/>
          <w:szCs w:val="32"/>
          <w:spacing w:val="-7"/>
          <w:position w:val="1"/>
        </w:rPr>
        <w:t xml:space="preserve">      </w:t>
      </w:r>
      <w:r>
        <w:rPr>
          <w:rFonts w:ascii="KaiTi" w:hAnsi="KaiTi" w:eastAsia="KaiTi" w:cs="KaiTi"/>
          <w:sz w:val="32"/>
          <w:szCs w:val="32"/>
          <w:spacing w:val="-7"/>
          <w:position w:val="1"/>
        </w:rPr>
        <w:t>日期：</w:t>
      </w:r>
      <w:r>
        <w:rPr>
          <w:rFonts w:ascii="KaiTi" w:hAnsi="KaiTi" w:eastAsia="KaiTi" w:cs="KaiTi"/>
          <w:sz w:val="32"/>
          <w:szCs w:val="32"/>
          <w:spacing w:val="-7"/>
          <w:position w:val="1"/>
        </w:rPr>
        <w:t xml:space="preserve">  </w:t>
      </w:r>
      <w:r>
        <w:rPr>
          <w:rFonts w:ascii="KaiTi" w:hAnsi="KaiTi" w:eastAsia="KaiTi" w:cs="KaiTi"/>
          <w:sz w:val="32"/>
          <w:szCs w:val="32"/>
          <w:spacing w:val="-7"/>
          <w:position w:val="1"/>
        </w:rPr>
        <w:t>年</w:t>
      </w:r>
      <w:r>
        <w:rPr>
          <w:rFonts w:ascii="KaiTi" w:hAnsi="KaiTi" w:eastAsia="KaiTi" w:cs="KaiTi"/>
          <w:sz w:val="32"/>
          <w:szCs w:val="32"/>
          <w:spacing w:val="-7"/>
          <w:position w:val="1"/>
        </w:rPr>
        <w:t xml:space="preserve">  </w:t>
      </w:r>
      <w:r>
        <w:rPr>
          <w:rFonts w:ascii="KaiTi" w:hAnsi="KaiTi" w:eastAsia="KaiTi" w:cs="KaiTi"/>
          <w:sz w:val="32"/>
          <w:szCs w:val="32"/>
          <w:spacing w:val="-7"/>
          <w:position w:val="1"/>
        </w:rPr>
        <w:t>月</w:t>
      </w:r>
      <w:r>
        <w:rPr>
          <w:rFonts w:ascii="KaiTi" w:hAnsi="KaiTi" w:eastAsia="KaiTi" w:cs="KaiTi"/>
          <w:sz w:val="32"/>
          <w:szCs w:val="32"/>
          <w:spacing w:val="31"/>
          <w:position w:val="1"/>
        </w:rPr>
        <w:t xml:space="preserve">  </w:t>
      </w:r>
      <w:r>
        <w:rPr>
          <w:rFonts w:ascii="KaiTi" w:hAnsi="KaiTi" w:eastAsia="KaiTi" w:cs="KaiTi"/>
          <w:sz w:val="32"/>
          <w:szCs w:val="32"/>
          <w:spacing w:val="-7"/>
          <w:position w:val="1"/>
        </w:rPr>
        <w:t>日</w:t>
      </w:r>
    </w:p>
    <w:p>
      <w:pPr>
        <w:spacing w:line="75" w:lineRule="exact"/>
        <w:rPr/>
      </w:pPr>
      <w:r/>
    </w:p>
    <w:tbl>
      <w:tblPr>
        <w:tblStyle w:val="TableNormal"/>
        <w:tblW w:w="12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13"/>
        <w:gridCol w:w="1419"/>
        <w:gridCol w:w="2088"/>
        <w:gridCol w:w="1678"/>
        <w:gridCol w:w="1439"/>
        <w:gridCol w:w="1539"/>
        <w:gridCol w:w="2873"/>
      </w:tblGrid>
      <w:tr>
        <w:trPr>
          <w:trHeight w:val="931" w:hRule="atLeast"/>
        </w:trPr>
        <w:tc>
          <w:tcPr>
            <w:tcW w:w="1713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45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2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9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学校标识码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562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学校名称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35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部门名称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34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手</w:t>
            </w: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机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9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电子邮箱</w:t>
            </w:r>
          </w:p>
        </w:tc>
        <w:tc>
          <w:tcPr>
            <w:tcW w:w="2873" w:type="dxa"/>
            <w:vAlign w:val="top"/>
          </w:tcPr>
          <w:p>
            <w:pPr>
              <w:ind w:left="168"/>
              <w:spacing w:before="3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学校是否为新设或更名，</w:t>
            </w:r>
          </w:p>
          <w:p>
            <w:pPr>
              <w:ind w:left="108"/>
              <w:spacing w:before="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是否为本科层次职业学校</w:t>
            </w:r>
          </w:p>
          <w:p>
            <w:pPr>
              <w:ind w:left="708"/>
              <w:spacing w:before="26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(请备注说明)</w:t>
            </w:r>
          </w:p>
        </w:tc>
      </w:tr>
      <w:tr>
        <w:trPr>
          <w:trHeight w:val="618" w:hRule="atLeast"/>
        </w:trPr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7" w:hRule="atLeast"/>
        </w:trPr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3" w:hRule="atLeast"/>
        </w:trPr>
        <w:tc>
          <w:tcPr>
            <w:tcW w:w="17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4"/>
        <w:spacing w:before="47" w:line="21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"/>
        </w:rPr>
        <w:t>注：请于9月5日前将联系人信息表电子版发送</w:t>
      </w:r>
      <w:r>
        <w:rPr>
          <w:rFonts w:ascii="SimSun" w:hAnsi="SimSun" w:eastAsia="SimSun" w:cs="SimSun"/>
          <w:sz w:val="30"/>
          <w:szCs w:val="30"/>
        </w:rPr>
        <w:t>至zhangliucheng@126.com。</w:t>
      </w:r>
    </w:p>
    <w:sectPr>
      <w:pgSz w:w="16960" w:h="12090"/>
      <w:pgMar w:top="1027" w:right="2225" w:bottom="400" w:left="19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0" w:lineRule="exact"/>
      <w:rPr/>
    </w:pPr>
    <w:r>
      <w:rPr>
        <w:position w:val="-1"/>
      </w:rPr>
      <w:drawing>
        <wp:inline distT="0" distB="0" distL="0" distR="0">
          <wp:extent cx="5632468" cy="31824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632468" cy="31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5"/>
      <w:szCs w:val="3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hyperlink" Target="http://systj.buct.edu.cn:81" TargetMode="External"/><Relationship Id="rId2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2024-10-24T19:16:21Z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2024-10-24T19:16:21</vt:filetime>
  </property>
  <property fmtid="{D5CDD505-2E9C-101B-9397-08002B2CF9AE}" pid="4" name="UsrData">
    <vt:lpwstr>671a2c83564c68001f205de8wl</vt:lpwstr>
  </property>
</Properties>
</file>