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2D1D8">
      <w:pPr>
        <w:tabs>
          <w:tab w:val="left" w:pos="6090"/>
        </w:tabs>
        <w:jc w:val="center"/>
        <w:rPr>
          <w:rFonts w:hint="eastAsia" w:ascii="宋体" w:hAnsi="宋体"/>
          <w:b/>
          <w:bCs w:val="0"/>
          <w:sz w:val="36"/>
          <w:szCs w:val="36"/>
        </w:rPr>
      </w:pPr>
      <w:r>
        <w:rPr>
          <w:rFonts w:hint="eastAsia" w:ascii="方正公文小标宋" w:hAnsi="方正公文小标宋" w:eastAsia="方正公文小标宋" w:cs="方正公文小标宋"/>
          <w:b/>
          <w:bCs w:val="0"/>
          <w:i w:val="0"/>
          <w:iCs w:val="0"/>
          <w:sz w:val="44"/>
          <w:szCs w:val="44"/>
        </w:rPr>
        <w:t>大兴安岭职业学院国家励志奖学金评审方案</w:t>
      </w:r>
    </w:p>
    <w:p w14:paraId="3E9193F0">
      <w:pPr>
        <w:jc w:val="center"/>
        <w:rPr>
          <w:rFonts w:hint="eastAsia" w:ascii="宋体" w:hAnsi="宋体"/>
          <w:b/>
          <w:sz w:val="36"/>
          <w:szCs w:val="36"/>
        </w:rPr>
      </w:pPr>
    </w:p>
    <w:p w14:paraId="45084E88">
      <w:pPr>
        <w:spacing w:line="300" w:lineRule="auto"/>
        <w:ind w:firstLine="640" w:firstLineChars="200"/>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为切实体现党和政府以及学院对</w:t>
      </w:r>
      <w:r>
        <w:rPr>
          <w:rFonts w:hint="eastAsia" w:ascii="方正仿宋_GB2312" w:hAnsi="方正仿宋_GB2312" w:eastAsia="方正仿宋_GB2312" w:cs="方正仿宋_GB2312"/>
          <w:b w:val="0"/>
          <w:bCs w:val="0"/>
          <w:kern w:val="0"/>
          <w:sz w:val="32"/>
          <w:szCs w:val="32"/>
        </w:rPr>
        <w:t>品学兼优的家庭经济困难学生</w:t>
      </w:r>
      <w:r>
        <w:rPr>
          <w:rFonts w:hint="eastAsia" w:ascii="方正仿宋_GB2312" w:hAnsi="方正仿宋_GB2312" w:eastAsia="方正仿宋_GB2312" w:cs="方正仿宋_GB2312"/>
          <w:b w:val="0"/>
          <w:bCs w:val="0"/>
          <w:sz w:val="32"/>
          <w:szCs w:val="32"/>
        </w:rPr>
        <w:t>的关怀，激励学生勤奋学习、努力进取，德、智、体、美、劳全面发展，按照根据黑财规〔202</w:t>
      </w:r>
      <w:r>
        <w:rPr>
          <w:rFonts w:hint="eastAsia" w:ascii="方正仿宋_GB2312" w:hAnsi="方正仿宋_GB2312" w:eastAsia="方正仿宋_GB2312" w:cs="方正仿宋_GB2312"/>
          <w:b w:val="0"/>
          <w:bCs w:val="0"/>
          <w:sz w:val="32"/>
          <w:szCs w:val="32"/>
          <w:lang w:val="en-US" w:eastAsia="zh-CN"/>
        </w:rPr>
        <w:t>5</w:t>
      </w:r>
      <w:r>
        <w:rPr>
          <w:rFonts w:hint="eastAsia" w:ascii="方正仿宋_GB2312" w:hAnsi="方正仿宋_GB2312" w:eastAsia="方正仿宋_GB2312" w:cs="方正仿宋_GB2312"/>
          <w:b w:val="0"/>
          <w:bCs w:val="0"/>
          <w:sz w:val="32"/>
          <w:szCs w:val="32"/>
        </w:rPr>
        <w:t>〕</w:t>
      </w:r>
      <w:r>
        <w:rPr>
          <w:rFonts w:hint="eastAsia" w:ascii="方正仿宋_GB2312" w:hAnsi="方正仿宋_GB2312" w:eastAsia="方正仿宋_GB2312" w:cs="方正仿宋_GB2312"/>
          <w:b w:val="0"/>
          <w:bCs w:val="0"/>
          <w:sz w:val="32"/>
          <w:szCs w:val="32"/>
          <w:lang w:val="en-US" w:eastAsia="zh-CN"/>
        </w:rPr>
        <w:t>14</w:t>
      </w:r>
      <w:r>
        <w:rPr>
          <w:rFonts w:hint="eastAsia" w:ascii="方正仿宋_GB2312" w:hAnsi="方正仿宋_GB2312" w:eastAsia="方正仿宋_GB2312" w:cs="方正仿宋_GB2312"/>
          <w:b w:val="0"/>
          <w:bCs w:val="0"/>
          <w:sz w:val="32"/>
          <w:szCs w:val="32"/>
        </w:rPr>
        <w:t>号关于印发《黑龙江省省学生资助资金管理办法》和《黑</w:t>
      </w:r>
      <w:bookmarkStart w:id="0" w:name="_GoBack"/>
      <w:bookmarkEnd w:id="0"/>
      <w:r>
        <w:rPr>
          <w:rFonts w:hint="eastAsia" w:ascii="方正仿宋_GB2312" w:hAnsi="方正仿宋_GB2312" w:eastAsia="方正仿宋_GB2312" w:cs="方正仿宋_GB2312"/>
          <w:b w:val="0"/>
          <w:bCs w:val="0"/>
          <w:sz w:val="32"/>
          <w:szCs w:val="32"/>
        </w:rPr>
        <w:t>龙江省学生资助资金管理实施细则》、《省教育厅 省人力资源和社会保障厅 省财政厅关于印发《黑龙江省本专科生国家奖学金实施细则》等制度的通知》(黑教规〔2020〕10号）的要求，特制定《大兴安岭职业学院国家励志奖学金评审方案》。</w:t>
      </w:r>
    </w:p>
    <w:p w14:paraId="7D0DBA3C">
      <w:pPr>
        <w:widowControl/>
        <w:spacing w:line="300" w:lineRule="auto"/>
        <w:ind w:firstLine="640" w:firstLineChars="200"/>
        <w:jc w:val="left"/>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一、制定评审方案</w:t>
      </w:r>
    </w:p>
    <w:p w14:paraId="4834D1C0">
      <w:pPr>
        <w:widowControl/>
        <w:spacing w:line="300" w:lineRule="auto"/>
        <w:ind w:firstLine="640" w:firstLineChars="200"/>
        <w:jc w:val="left"/>
        <w:rPr>
          <w:rFonts w:hint="eastAsia" w:ascii="方正仿宋_GB2312" w:hAnsi="方正仿宋_GB2312" w:eastAsia="方正仿宋_GB2312" w:cs="方正仿宋_GB2312"/>
          <w:b w:val="0"/>
          <w:bCs w:val="0"/>
          <w:color w:val="000000"/>
          <w:kern w:val="0"/>
          <w:sz w:val="32"/>
          <w:szCs w:val="32"/>
        </w:rPr>
      </w:pPr>
      <w:r>
        <w:rPr>
          <w:rFonts w:hint="eastAsia" w:ascii="方正仿宋_GB2312" w:hAnsi="方正仿宋_GB2312" w:eastAsia="方正仿宋_GB2312" w:cs="方正仿宋_GB2312"/>
          <w:b w:val="0"/>
          <w:bCs w:val="0"/>
          <w:color w:val="000000"/>
          <w:kern w:val="0"/>
          <w:sz w:val="32"/>
          <w:szCs w:val="32"/>
        </w:rPr>
        <w:t>各</w:t>
      </w:r>
      <w:r>
        <w:rPr>
          <w:rFonts w:hint="eastAsia" w:ascii="方正仿宋_GB2312" w:hAnsi="方正仿宋_GB2312" w:eastAsia="方正仿宋_GB2312" w:cs="方正仿宋_GB2312"/>
          <w:b w:val="0"/>
          <w:bCs w:val="0"/>
          <w:color w:val="000000"/>
          <w:kern w:val="0"/>
          <w:sz w:val="32"/>
          <w:szCs w:val="32"/>
          <w:lang w:val="en-US" w:eastAsia="zh-CN"/>
        </w:rPr>
        <w:t>二级学院必须</w:t>
      </w:r>
      <w:r>
        <w:rPr>
          <w:rFonts w:hint="eastAsia" w:ascii="方正仿宋_GB2312" w:hAnsi="方正仿宋_GB2312" w:eastAsia="方正仿宋_GB2312" w:cs="方正仿宋_GB2312"/>
          <w:b w:val="0"/>
          <w:bCs w:val="0"/>
          <w:color w:val="000000"/>
          <w:kern w:val="0"/>
          <w:sz w:val="32"/>
          <w:szCs w:val="32"/>
        </w:rPr>
        <w:t>参照《大兴安岭职业学院国家奖学金评审方案》，自行制定</w:t>
      </w:r>
      <w:r>
        <w:rPr>
          <w:rFonts w:hint="eastAsia" w:ascii="方正仿宋_GB2312" w:hAnsi="方正仿宋_GB2312" w:eastAsia="方正仿宋_GB2312" w:cs="方正仿宋_GB2312"/>
          <w:b w:val="0"/>
          <w:bCs w:val="0"/>
          <w:color w:val="000000"/>
          <w:kern w:val="0"/>
          <w:sz w:val="32"/>
          <w:szCs w:val="32"/>
          <w:lang w:val="en-US" w:eastAsia="zh-CN"/>
        </w:rPr>
        <w:t>学院</w:t>
      </w:r>
      <w:r>
        <w:rPr>
          <w:rFonts w:hint="eastAsia" w:ascii="方正仿宋_GB2312" w:hAnsi="方正仿宋_GB2312" w:eastAsia="方正仿宋_GB2312" w:cs="方正仿宋_GB2312"/>
          <w:b w:val="0"/>
          <w:bCs w:val="0"/>
          <w:color w:val="000000"/>
          <w:kern w:val="0"/>
          <w:sz w:val="32"/>
          <w:szCs w:val="32"/>
        </w:rPr>
        <w:t>国家励志奖学金评审方案，将评审方案报学工部备案。</w:t>
      </w:r>
    </w:p>
    <w:p w14:paraId="25132032">
      <w:pPr>
        <w:widowControl/>
        <w:spacing w:line="300" w:lineRule="auto"/>
        <w:ind w:firstLine="640" w:firstLineChars="200"/>
        <w:jc w:val="left"/>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二、奖励标准和名额</w:t>
      </w:r>
    </w:p>
    <w:p w14:paraId="11527CC8">
      <w:pPr>
        <w:spacing w:line="300" w:lineRule="auto"/>
        <w:ind w:firstLine="640" w:firstLineChars="200"/>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kern w:val="0"/>
          <w:sz w:val="32"/>
          <w:szCs w:val="32"/>
        </w:rPr>
        <w:t>国家励志奖学金每生每年</w:t>
      </w:r>
      <w:r>
        <w:rPr>
          <w:rFonts w:hint="eastAsia" w:ascii="方正仿宋_GB2312" w:hAnsi="方正仿宋_GB2312" w:eastAsia="方正仿宋_GB2312" w:cs="方正仿宋_GB2312"/>
          <w:b w:val="0"/>
          <w:bCs w:val="0"/>
          <w:kern w:val="0"/>
          <w:sz w:val="32"/>
          <w:szCs w:val="32"/>
          <w:lang w:val="en-US" w:eastAsia="zh-CN"/>
        </w:rPr>
        <w:t>6</w:t>
      </w:r>
      <w:r>
        <w:rPr>
          <w:rFonts w:hint="eastAsia" w:ascii="方正仿宋_GB2312" w:hAnsi="方正仿宋_GB2312" w:eastAsia="方正仿宋_GB2312" w:cs="方正仿宋_GB2312"/>
          <w:b w:val="0"/>
          <w:bCs w:val="0"/>
          <w:kern w:val="0"/>
          <w:sz w:val="32"/>
          <w:szCs w:val="32"/>
        </w:rPr>
        <w:t>000元。</w:t>
      </w:r>
      <w:r>
        <w:rPr>
          <w:rFonts w:hint="eastAsia" w:ascii="方正仿宋_GB2312" w:hAnsi="方正仿宋_GB2312" w:eastAsia="方正仿宋_GB2312" w:cs="方正仿宋_GB2312"/>
          <w:b w:val="0"/>
          <w:bCs w:val="0"/>
          <w:sz w:val="32"/>
          <w:szCs w:val="32"/>
        </w:rPr>
        <w:t>学工部按照省教育厅规定的名额指标数，根据各</w:t>
      </w:r>
      <w:r>
        <w:rPr>
          <w:rFonts w:hint="eastAsia" w:ascii="方正仿宋_GB2312" w:hAnsi="方正仿宋_GB2312" w:eastAsia="方正仿宋_GB2312" w:cs="方正仿宋_GB2312"/>
          <w:b w:val="0"/>
          <w:bCs w:val="0"/>
          <w:sz w:val="32"/>
          <w:szCs w:val="32"/>
          <w:lang w:val="en-US" w:eastAsia="zh-CN"/>
        </w:rPr>
        <w:t>二级学院</w:t>
      </w:r>
      <w:r>
        <w:rPr>
          <w:rFonts w:hint="eastAsia" w:ascii="方正仿宋_GB2312" w:hAnsi="方正仿宋_GB2312" w:eastAsia="方正仿宋_GB2312" w:cs="方正仿宋_GB2312"/>
          <w:b w:val="0"/>
          <w:bCs w:val="0"/>
          <w:sz w:val="32"/>
          <w:szCs w:val="32"/>
        </w:rPr>
        <w:t>全日制高职贫困学生人数占学院整体全日制高职贫困学生人数的比例，制定出各</w:t>
      </w:r>
      <w:r>
        <w:rPr>
          <w:rFonts w:hint="eastAsia" w:ascii="方正仿宋_GB2312" w:hAnsi="方正仿宋_GB2312" w:eastAsia="方正仿宋_GB2312" w:cs="方正仿宋_GB2312"/>
          <w:b w:val="0"/>
          <w:bCs w:val="0"/>
          <w:sz w:val="32"/>
          <w:szCs w:val="32"/>
          <w:lang w:val="en-US" w:eastAsia="zh-CN"/>
        </w:rPr>
        <w:t>二级学院</w:t>
      </w:r>
      <w:r>
        <w:rPr>
          <w:rFonts w:hint="eastAsia" w:ascii="方正仿宋_GB2312" w:hAnsi="方正仿宋_GB2312" w:eastAsia="方正仿宋_GB2312" w:cs="方正仿宋_GB2312"/>
          <w:b w:val="0"/>
          <w:bCs w:val="0"/>
          <w:sz w:val="32"/>
          <w:szCs w:val="32"/>
        </w:rPr>
        <w:t>获奖人数方案，方案报学</w:t>
      </w:r>
      <w:r>
        <w:rPr>
          <w:rFonts w:hint="eastAsia" w:ascii="方正仿宋_GB2312" w:hAnsi="方正仿宋_GB2312" w:eastAsia="方正仿宋_GB2312" w:cs="方正仿宋_GB2312"/>
          <w:b w:val="0"/>
          <w:bCs w:val="0"/>
          <w:sz w:val="32"/>
          <w:szCs w:val="32"/>
          <w:lang w:val="en-US" w:eastAsia="zh-CN"/>
        </w:rPr>
        <w:t>校领导</w:t>
      </w:r>
      <w:r>
        <w:rPr>
          <w:rFonts w:hint="eastAsia" w:ascii="方正仿宋_GB2312" w:hAnsi="方正仿宋_GB2312" w:eastAsia="方正仿宋_GB2312" w:cs="方正仿宋_GB2312"/>
          <w:b w:val="0"/>
          <w:bCs w:val="0"/>
          <w:sz w:val="32"/>
          <w:szCs w:val="32"/>
        </w:rPr>
        <w:t>审批，待审批合格后下发到各</w:t>
      </w:r>
      <w:r>
        <w:rPr>
          <w:rFonts w:hint="eastAsia" w:ascii="方正仿宋_GB2312" w:hAnsi="方正仿宋_GB2312" w:eastAsia="方正仿宋_GB2312" w:cs="方正仿宋_GB2312"/>
          <w:b w:val="0"/>
          <w:bCs w:val="0"/>
          <w:sz w:val="32"/>
          <w:szCs w:val="32"/>
          <w:lang w:val="en-US" w:eastAsia="zh-CN"/>
        </w:rPr>
        <w:t>二级学院</w:t>
      </w:r>
      <w:r>
        <w:rPr>
          <w:rFonts w:hint="eastAsia" w:ascii="方正仿宋_GB2312" w:hAnsi="方正仿宋_GB2312" w:eastAsia="方正仿宋_GB2312" w:cs="方正仿宋_GB2312"/>
          <w:b w:val="0"/>
          <w:bCs w:val="0"/>
          <w:sz w:val="32"/>
          <w:szCs w:val="32"/>
        </w:rPr>
        <w:t>。</w:t>
      </w:r>
    </w:p>
    <w:p w14:paraId="7BB95385">
      <w:pPr>
        <w:widowControl/>
        <w:spacing w:line="300" w:lineRule="auto"/>
        <w:ind w:firstLine="640" w:firstLineChars="200"/>
        <w:jc w:val="left"/>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三、评选对象和条件</w:t>
      </w:r>
    </w:p>
    <w:p w14:paraId="5928DC2E">
      <w:pPr>
        <w:widowControl/>
        <w:spacing w:line="300" w:lineRule="auto"/>
        <w:ind w:firstLine="640" w:firstLineChars="200"/>
        <w:jc w:val="left"/>
        <w:rPr>
          <w:rFonts w:hint="eastAsia" w:ascii="方正楷体_GB2312" w:hAnsi="方正楷体_GB2312" w:eastAsia="方正楷体_GB2312" w:cs="方正楷体_GB2312"/>
          <w:b w:val="0"/>
          <w:bCs w:val="0"/>
          <w:kern w:val="0"/>
          <w:sz w:val="32"/>
          <w:szCs w:val="32"/>
        </w:rPr>
      </w:pPr>
      <w:r>
        <w:rPr>
          <w:rFonts w:hint="eastAsia" w:ascii="方正楷体_GB2312" w:hAnsi="方正楷体_GB2312" w:eastAsia="方正楷体_GB2312" w:cs="方正楷体_GB2312"/>
          <w:b w:val="0"/>
          <w:bCs w:val="0"/>
          <w:kern w:val="0"/>
          <w:sz w:val="32"/>
          <w:szCs w:val="32"/>
        </w:rPr>
        <w:t>（一）评选对象</w:t>
      </w:r>
    </w:p>
    <w:p w14:paraId="22E7F9B0">
      <w:pPr>
        <w:widowControl/>
        <w:spacing w:line="300" w:lineRule="auto"/>
        <w:ind w:firstLine="640" w:firstLineChars="200"/>
        <w:jc w:val="left"/>
        <w:rPr>
          <w:rFonts w:hint="eastAsia" w:ascii="方正仿宋_GB2312" w:hAnsi="方正仿宋_GB2312" w:eastAsia="方正仿宋_GB2312" w:cs="方正仿宋_GB2312"/>
          <w:b w:val="0"/>
          <w:bCs w:val="0"/>
          <w:kern w:val="0"/>
          <w:sz w:val="32"/>
          <w:szCs w:val="32"/>
        </w:rPr>
      </w:pPr>
      <w:r>
        <w:rPr>
          <w:rFonts w:hint="eastAsia" w:ascii="方正仿宋_GB2312" w:hAnsi="方正仿宋_GB2312" w:eastAsia="方正仿宋_GB2312" w:cs="方正仿宋_GB2312"/>
          <w:b w:val="0"/>
          <w:bCs w:val="0"/>
          <w:kern w:val="0"/>
          <w:sz w:val="32"/>
          <w:szCs w:val="32"/>
        </w:rPr>
        <w:t>国家励志奖学金的评选对象为全院在校高职学生中具有正式学籍的二年级以上（含二年级）的学生。国家励志奖学金用于奖励学生中品学兼优的家庭经济困难学生。</w:t>
      </w:r>
    </w:p>
    <w:p w14:paraId="2A9AF845">
      <w:pPr>
        <w:widowControl/>
        <w:spacing w:line="300" w:lineRule="auto"/>
        <w:ind w:firstLine="640" w:firstLineChars="200"/>
        <w:jc w:val="left"/>
        <w:rPr>
          <w:rFonts w:hint="eastAsia" w:ascii="方正楷体_GB2312" w:hAnsi="方正楷体_GB2312" w:eastAsia="方正楷体_GB2312" w:cs="方正楷体_GB2312"/>
          <w:b w:val="0"/>
          <w:bCs w:val="0"/>
          <w:kern w:val="0"/>
          <w:sz w:val="32"/>
          <w:szCs w:val="32"/>
        </w:rPr>
      </w:pPr>
      <w:r>
        <w:rPr>
          <w:rFonts w:hint="eastAsia" w:ascii="方正楷体_GB2312" w:hAnsi="方正楷体_GB2312" w:eastAsia="方正楷体_GB2312" w:cs="方正楷体_GB2312"/>
          <w:b w:val="0"/>
          <w:bCs w:val="0"/>
          <w:kern w:val="0"/>
          <w:sz w:val="32"/>
          <w:szCs w:val="32"/>
        </w:rPr>
        <w:t>（二）基本条件</w:t>
      </w:r>
    </w:p>
    <w:p w14:paraId="625D07A5">
      <w:pPr>
        <w:widowControl/>
        <w:spacing w:line="300" w:lineRule="auto"/>
        <w:ind w:firstLine="640" w:firstLineChars="200"/>
        <w:jc w:val="left"/>
        <w:rPr>
          <w:rFonts w:hint="eastAsia" w:ascii="方正仿宋_GB2312" w:hAnsi="方正仿宋_GB2312" w:eastAsia="方正仿宋_GB2312" w:cs="方正仿宋_GB2312"/>
          <w:b w:val="0"/>
          <w:bCs w:val="0"/>
          <w:kern w:val="0"/>
          <w:sz w:val="32"/>
          <w:szCs w:val="32"/>
        </w:rPr>
      </w:pPr>
      <w:r>
        <w:rPr>
          <w:rFonts w:hint="eastAsia" w:ascii="方正仿宋_GB2312" w:hAnsi="方正仿宋_GB2312" w:eastAsia="方正仿宋_GB2312" w:cs="方正仿宋_GB2312"/>
          <w:b w:val="0"/>
          <w:bCs w:val="0"/>
          <w:kern w:val="0"/>
          <w:sz w:val="32"/>
          <w:szCs w:val="32"/>
        </w:rPr>
        <w:t>1.热爱社会主义祖国，拥护中国共产党的领导；</w:t>
      </w:r>
    </w:p>
    <w:p w14:paraId="6896D4DD">
      <w:pPr>
        <w:widowControl/>
        <w:spacing w:line="300" w:lineRule="auto"/>
        <w:ind w:firstLine="640" w:firstLineChars="200"/>
        <w:jc w:val="left"/>
        <w:rPr>
          <w:rFonts w:hint="eastAsia" w:ascii="方正仿宋_GB2312" w:hAnsi="方正仿宋_GB2312" w:eastAsia="方正仿宋_GB2312" w:cs="方正仿宋_GB2312"/>
          <w:b w:val="0"/>
          <w:bCs w:val="0"/>
          <w:kern w:val="0"/>
          <w:sz w:val="32"/>
          <w:szCs w:val="32"/>
        </w:rPr>
      </w:pPr>
      <w:r>
        <w:rPr>
          <w:rFonts w:hint="eastAsia" w:ascii="方正仿宋_GB2312" w:hAnsi="方正仿宋_GB2312" w:eastAsia="方正仿宋_GB2312" w:cs="方正仿宋_GB2312"/>
          <w:b w:val="0"/>
          <w:bCs w:val="0"/>
          <w:kern w:val="0"/>
          <w:sz w:val="32"/>
          <w:szCs w:val="32"/>
        </w:rPr>
        <w:t>2.遵守宪法和法律，遵守学校各项规章制度；</w:t>
      </w:r>
    </w:p>
    <w:p w14:paraId="5A186791">
      <w:pPr>
        <w:widowControl/>
        <w:spacing w:line="300" w:lineRule="auto"/>
        <w:ind w:firstLine="640" w:firstLineChars="200"/>
        <w:jc w:val="left"/>
        <w:rPr>
          <w:rFonts w:hint="eastAsia" w:ascii="方正仿宋_GB2312" w:hAnsi="方正仿宋_GB2312" w:eastAsia="方正仿宋_GB2312" w:cs="方正仿宋_GB2312"/>
          <w:b w:val="0"/>
          <w:bCs w:val="0"/>
          <w:kern w:val="0"/>
          <w:sz w:val="32"/>
          <w:szCs w:val="32"/>
        </w:rPr>
      </w:pPr>
      <w:r>
        <w:rPr>
          <w:rFonts w:hint="eastAsia" w:ascii="方正仿宋_GB2312" w:hAnsi="方正仿宋_GB2312" w:eastAsia="方正仿宋_GB2312" w:cs="方正仿宋_GB2312"/>
          <w:b w:val="0"/>
          <w:bCs w:val="0"/>
          <w:kern w:val="0"/>
          <w:sz w:val="32"/>
          <w:szCs w:val="32"/>
        </w:rPr>
        <w:t>3.诚实守信，道德品质优良；</w:t>
      </w:r>
    </w:p>
    <w:p w14:paraId="754CED04">
      <w:pPr>
        <w:spacing w:line="300" w:lineRule="auto"/>
        <w:ind w:firstLine="640" w:firstLineChars="200"/>
        <w:rPr>
          <w:rFonts w:hint="eastAsia" w:ascii="方正仿宋_GB2312" w:hAnsi="方正仿宋_GB2312" w:eastAsia="方正仿宋_GB2312" w:cs="方正仿宋_GB2312"/>
          <w:b w:val="0"/>
          <w:bCs w:val="0"/>
          <w:kern w:val="0"/>
          <w:sz w:val="32"/>
          <w:szCs w:val="32"/>
        </w:rPr>
      </w:pPr>
      <w:r>
        <w:rPr>
          <w:rFonts w:hint="eastAsia" w:ascii="方正仿宋_GB2312" w:hAnsi="方正仿宋_GB2312" w:eastAsia="方正仿宋_GB2312" w:cs="方正仿宋_GB2312"/>
          <w:b w:val="0"/>
          <w:bCs w:val="0"/>
          <w:kern w:val="0"/>
          <w:sz w:val="32"/>
          <w:szCs w:val="32"/>
        </w:rPr>
        <w:t>4.在校期间学习成绩优秀，家庭困难、生活俭朴，积极参加学院的各项活动，一学年内学习成绩</w:t>
      </w:r>
      <w:r>
        <w:rPr>
          <w:rFonts w:hint="eastAsia" w:ascii="方正仿宋_GB2312" w:hAnsi="方正仿宋_GB2312" w:eastAsia="方正仿宋_GB2312" w:cs="方正仿宋_GB2312"/>
          <w:b w:val="0"/>
          <w:bCs w:val="0"/>
          <w:kern w:val="0"/>
          <w:sz w:val="32"/>
          <w:szCs w:val="32"/>
          <w:lang w:val="en-US" w:eastAsia="zh-CN"/>
        </w:rPr>
        <w:t>院</w:t>
      </w:r>
      <w:r>
        <w:rPr>
          <w:rFonts w:hint="eastAsia" w:ascii="方正仿宋_GB2312" w:hAnsi="方正仿宋_GB2312" w:eastAsia="方正仿宋_GB2312" w:cs="方正仿宋_GB2312"/>
          <w:b w:val="0"/>
          <w:bCs w:val="0"/>
          <w:kern w:val="0"/>
          <w:sz w:val="32"/>
          <w:szCs w:val="32"/>
        </w:rPr>
        <w:t>内（专业）排名前30％；综合测评成绩在</w:t>
      </w:r>
      <w:r>
        <w:rPr>
          <w:rFonts w:hint="eastAsia" w:ascii="方正仿宋_GB2312" w:hAnsi="方正仿宋_GB2312" w:eastAsia="方正仿宋_GB2312" w:cs="方正仿宋_GB2312"/>
          <w:b w:val="0"/>
          <w:bCs w:val="0"/>
          <w:kern w:val="0"/>
          <w:sz w:val="32"/>
          <w:szCs w:val="32"/>
          <w:lang w:val="en-US" w:eastAsia="zh-CN"/>
        </w:rPr>
        <w:t>院</w:t>
      </w:r>
      <w:r>
        <w:rPr>
          <w:rFonts w:hint="eastAsia" w:ascii="方正仿宋_GB2312" w:hAnsi="方正仿宋_GB2312" w:eastAsia="方正仿宋_GB2312" w:cs="方正仿宋_GB2312"/>
          <w:b w:val="0"/>
          <w:bCs w:val="0"/>
          <w:kern w:val="0"/>
          <w:sz w:val="32"/>
          <w:szCs w:val="32"/>
        </w:rPr>
        <w:t>内（专业）排名前30％；</w:t>
      </w:r>
    </w:p>
    <w:p w14:paraId="23ECF1E6">
      <w:pPr>
        <w:spacing w:line="300" w:lineRule="auto"/>
        <w:ind w:firstLine="640" w:firstLineChars="200"/>
        <w:rPr>
          <w:rFonts w:hint="eastAsia" w:ascii="方正仿宋_GB2312" w:hAnsi="方正仿宋_GB2312" w:eastAsia="方正仿宋_GB2312" w:cs="方正仿宋_GB2312"/>
          <w:b w:val="0"/>
          <w:bCs w:val="0"/>
          <w:sz w:val="32"/>
          <w:szCs w:val="32"/>
          <w:lang w:eastAsia="zh-CN"/>
        </w:rPr>
      </w:pPr>
      <w:r>
        <w:rPr>
          <w:rFonts w:hint="eastAsia" w:ascii="方正仿宋_GB2312" w:hAnsi="方正仿宋_GB2312" w:eastAsia="方正仿宋_GB2312" w:cs="方正仿宋_GB2312"/>
          <w:b w:val="0"/>
          <w:bCs w:val="0"/>
          <w:kern w:val="0"/>
          <w:sz w:val="32"/>
          <w:szCs w:val="32"/>
        </w:rPr>
        <w:t>5.</w:t>
      </w:r>
      <w:r>
        <w:rPr>
          <w:rFonts w:hint="eastAsia" w:ascii="方正仿宋_GB2312" w:hAnsi="方正仿宋_GB2312" w:eastAsia="方正仿宋_GB2312" w:cs="方正仿宋_GB2312"/>
          <w:b w:val="0"/>
          <w:bCs w:val="0"/>
          <w:kern w:val="0"/>
          <w:sz w:val="32"/>
          <w:szCs w:val="32"/>
          <w:lang w:val="en-US" w:eastAsia="zh-CN"/>
        </w:rPr>
        <w:t>评奖</w:t>
      </w:r>
      <w:r>
        <w:rPr>
          <w:rFonts w:hint="eastAsia" w:ascii="方正仿宋_GB2312" w:hAnsi="方正仿宋_GB2312" w:eastAsia="方正仿宋_GB2312" w:cs="方正仿宋_GB2312"/>
          <w:b w:val="0"/>
          <w:bCs w:val="0"/>
          <w:kern w:val="0"/>
          <w:sz w:val="32"/>
          <w:szCs w:val="32"/>
        </w:rPr>
        <w:t>学年第二课堂学分不低于15学分</w:t>
      </w:r>
      <w:r>
        <w:rPr>
          <w:rFonts w:hint="eastAsia" w:ascii="方正仿宋_GB2312" w:hAnsi="方正仿宋_GB2312" w:eastAsia="方正仿宋_GB2312" w:cs="方正仿宋_GB2312"/>
          <w:b w:val="0"/>
          <w:bCs w:val="0"/>
          <w:kern w:val="0"/>
          <w:sz w:val="32"/>
          <w:szCs w:val="32"/>
          <w:lang w:eastAsia="zh-CN"/>
        </w:rPr>
        <w:t>。</w:t>
      </w:r>
    </w:p>
    <w:p w14:paraId="21083EAF">
      <w:pPr>
        <w:widowControl/>
        <w:spacing w:line="300" w:lineRule="auto"/>
        <w:ind w:firstLine="640" w:firstLineChars="200"/>
        <w:jc w:val="left"/>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四、评审原则及办法</w:t>
      </w:r>
    </w:p>
    <w:p w14:paraId="5E2FA95E">
      <w:pPr>
        <w:widowControl/>
        <w:spacing w:line="300" w:lineRule="auto"/>
        <w:ind w:firstLine="640" w:firstLineChars="200"/>
        <w:jc w:val="left"/>
        <w:rPr>
          <w:rFonts w:hint="eastAsia" w:ascii="方正仿宋_GB2312" w:hAnsi="方正仿宋_GB2312" w:eastAsia="方正仿宋_GB2312" w:cs="方正仿宋_GB2312"/>
          <w:b w:val="0"/>
          <w:bCs w:val="0"/>
          <w:kern w:val="0"/>
          <w:sz w:val="32"/>
          <w:szCs w:val="32"/>
        </w:rPr>
      </w:pPr>
      <w:r>
        <w:rPr>
          <w:rFonts w:hint="eastAsia" w:ascii="方正仿宋_GB2312" w:hAnsi="方正仿宋_GB2312" w:eastAsia="方正仿宋_GB2312" w:cs="方正仿宋_GB2312"/>
          <w:b w:val="0"/>
          <w:bCs w:val="0"/>
          <w:kern w:val="0"/>
          <w:sz w:val="32"/>
          <w:szCs w:val="32"/>
        </w:rPr>
        <w:t>1.国家励志奖学金每学年评选一次，实行等额评审，坚持公开、公平、公正、择优的原则。</w:t>
      </w:r>
    </w:p>
    <w:p w14:paraId="68AED8F8">
      <w:pPr>
        <w:widowControl/>
        <w:spacing w:line="300" w:lineRule="auto"/>
        <w:ind w:firstLine="640" w:firstLineChars="200"/>
        <w:jc w:val="left"/>
        <w:rPr>
          <w:rFonts w:hint="eastAsia" w:ascii="方正仿宋_GB2312" w:hAnsi="方正仿宋_GB2312" w:eastAsia="方正仿宋_GB2312" w:cs="方正仿宋_GB2312"/>
          <w:b w:val="0"/>
          <w:bCs w:val="0"/>
          <w:kern w:val="0"/>
          <w:sz w:val="32"/>
          <w:szCs w:val="32"/>
        </w:rPr>
      </w:pPr>
      <w:r>
        <w:rPr>
          <w:rFonts w:hint="eastAsia" w:ascii="方正仿宋_GB2312" w:hAnsi="方正仿宋_GB2312" w:eastAsia="方正仿宋_GB2312" w:cs="方正仿宋_GB2312"/>
          <w:b w:val="0"/>
          <w:bCs w:val="0"/>
          <w:kern w:val="0"/>
          <w:sz w:val="32"/>
          <w:szCs w:val="32"/>
        </w:rPr>
        <w:t>2.同一学年内，申请国家励志奖学金的学生可以同时申请并获得国家助学金，但不能同时获得国家奖学金。</w:t>
      </w:r>
    </w:p>
    <w:p w14:paraId="54039DE6">
      <w:pPr>
        <w:widowControl/>
        <w:spacing w:line="300" w:lineRule="auto"/>
        <w:ind w:firstLine="640" w:firstLineChars="200"/>
        <w:jc w:val="left"/>
        <w:rPr>
          <w:rFonts w:hint="eastAsia" w:ascii="方正仿宋_GB2312" w:hAnsi="方正仿宋_GB2312" w:eastAsia="方正仿宋_GB2312" w:cs="方正仿宋_GB2312"/>
          <w:b w:val="0"/>
          <w:bCs w:val="0"/>
          <w:kern w:val="0"/>
          <w:sz w:val="32"/>
          <w:szCs w:val="32"/>
        </w:rPr>
      </w:pPr>
      <w:r>
        <w:rPr>
          <w:rFonts w:hint="eastAsia" w:ascii="方正仿宋_GB2312" w:hAnsi="方正仿宋_GB2312" w:eastAsia="方正仿宋_GB2312" w:cs="方正仿宋_GB2312"/>
          <w:b w:val="0"/>
          <w:bCs w:val="0"/>
          <w:kern w:val="0"/>
          <w:sz w:val="32"/>
          <w:szCs w:val="32"/>
        </w:rPr>
        <w:t>3.国家励志奖学金申请与评审工作由各</w:t>
      </w:r>
      <w:r>
        <w:rPr>
          <w:rFonts w:hint="eastAsia" w:ascii="方正仿宋_GB2312" w:hAnsi="方正仿宋_GB2312" w:eastAsia="方正仿宋_GB2312" w:cs="方正仿宋_GB2312"/>
          <w:b w:val="0"/>
          <w:bCs w:val="0"/>
          <w:kern w:val="0"/>
          <w:sz w:val="32"/>
          <w:szCs w:val="32"/>
          <w:lang w:val="en-US" w:eastAsia="zh-CN"/>
        </w:rPr>
        <w:t>二级学院</w:t>
      </w:r>
      <w:r>
        <w:rPr>
          <w:rFonts w:hint="eastAsia" w:ascii="方正仿宋_GB2312" w:hAnsi="方正仿宋_GB2312" w:eastAsia="方正仿宋_GB2312" w:cs="方正仿宋_GB2312"/>
          <w:b w:val="0"/>
          <w:bCs w:val="0"/>
          <w:kern w:val="0"/>
          <w:sz w:val="32"/>
          <w:szCs w:val="32"/>
        </w:rPr>
        <w:t>组织实施。</w:t>
      </w:r>
      <w:r>
        <w:rPr>
          <w:rFonts w:hint="eastAsia" w:ascii="方正仿宋_GB2312" w:hAnsi="方正仿宋_GB2312" w:eastAsia="方正仿宋_GB2312" w:cs="方正仿宋_GB2312"/>
          <w:b w:val="0"/>
          <w:bCs w:val="0"/>
          <w:kern w:val="0"/>
          <w:sz w:val="32"/>
          <w:szCs w:val="32"/>
          <w:highlight w:val="none"/>
          <w:lang w:val="en-US" w:eastAsia="zh-CN"/>
        </w:rPr>
        <w:t>二级学院应根据本方案，结合本学院专业设置、专业人数、成绩考核办法，制定各学院的评选办法，应特别细化评选成绩标准。</w:t>
      </w:r>
    </w:p>
    <w:p w14:paraId="1440BDFE">
      <w:pPr>
        <w:widowControl/>
        <w:spacing w:line="300" w:lineRule="auto"/>
        <w:ind w:firstLine="640" w:firstLineChars="200"/>
        <w:jc w:val="left"/>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五、公示</w:t>
      </w:r>
    </w:p>
    <w:p w14:paraId="716D5ACE">
      <w:pPr>
        <w:widowControl/>
        <w:spacing w:line="300" w:lineRule="auto"/>
        <w:ind w:firstLine="640" w:firstLineChars="200"/>
        <w:jc w:val="left"/>
        <w:rPr>
          <w:rFonts w:hint="eastAsia" w:ascii="方正仿宋_GB2312" w:hAnsi="方正仿宋_GB2312" w:eastAsia="方正仿宋_GB2312" w:cs="方正仿宋_GB2312"/>
          <w:b w:val="0"/>
          <w:bCs w:val="0"/>
          <w:color w:val="000000"/>
          <w:kern w:val="0"/>
          <w:sz w:val="32"/>
          <w:szCs w:val="32"/>
        </w:rPr>
      </w:pPr>
      <w:r>
        <w:rPr>
          <w:rFonts w:hint="eastAsia" w:ascii="方正仿宋_GB2312" w:hAnsi="方正仿宋_GB2312" w:eastAsia="方正仿宋_GB2312" w:cs="方正仿宋_GB2312"/>
          <w:b w:val="0"/>
          <w:bCs w:val="0"/>
          <w:color w:val="000000"/>
          <w:kern w:val="0"/>
          <w:sz w:val="32"/>
          <w:szCs w:val="32"/>
        </w:rPr>
        <w:t>各</w:t>
      </w:r>
      <w:r>
        <w:rPr>
          <w:rFonts w:hint="eastAsia" w:ascii="方正仿宋_GB2312" w:hAnsi="方正仿宋_GB2312" w:eastAsia="方正仿宋_GB2312" w:cs="方正仿宋_GB2312"/>
          <w:b w:val="0"/>
          <w:bCs w:val="0"/>
          <w:color w:val="000000"/>
          <w:kern w:val="0"/>
          <w:sz w:val="32"/>
          <w:szCs w:val="32"/>
          <w:lang w:val="en-US" w:eastAsia="zh-CN"/>
        </w:rPr>
        <w:t>二级学院</w:t>
      </w:r>
      <w:r>
        <w:rPr>
          <w:rFonts w:hint="eastAsia" w:ascii="方正仿宋_GB2312" w:hAnsi="方正仿宋_GB2312" w:eastAsia="方正仿宋_GB2312" w:cs="方正仿宋_GB2312"/>
          <w:b w:val="0"/>
          <w:bCs w:val="0"/>
          <w:color w:val="000000"/>
          <w:kern w:val="0"/>
          <w:sz w:val="32"/>
          <w:szCs w:val="32"/>
        </w:rPr>
        <w:t>评审结束后，确定最终获得国家励志奖学金学生名单，并在全</w:t>
      </w:r>
      <w:r>
        <w:rPr>
          <w:rFonts w:hint="eastAsia" w:ascii="方正仿宋_GB2312" w:hAnsi="方正仿宋_GB2312" w:eastAsia="方正仿宋_GB2312" w:cs="方正仿宋_GB2312"/>
          <w:b w:val="0"/>
          <w:bCs w:val="0"/>
          <w:color w:val="000000"/>
          <w:kern w:val="0"/>
          <w:sz w:val="32"/>
          <w:szCs w:val="32"/>
          <w:lang w:val="en-US" w:eastAsia="zh-CN"/>
        </w:rPr>
        <w:t>二级学院</w:t>
      </w:r>
      <w:r>
        <w:rPr>
          <w:rFonts w:hint="eastAsia" w:ascii="方正仿宋_GB2312" w:hAnsi="方正仿宋_GB2312" w:eastAsia="方正仿宋_GB2312" w:cs="方正仿宋_GB2312"/>
          <w:b w:val="0"/>
          <w:bCs w:val="0"/>
          <w:color w:val="000000"/>
          <w:kern w:val="0"/>
          <w:sz w:val="32"/>
          <w:szCs w:val="32"/>
        </w:rPr>
        <w:t>范围内</w:t>
      </w:r>
      <w:r>
        <w:rPr>
          <w:rFonts w:hint="eastAsia" w:ascii="方正仿宋_GB2312" w:hAnsi="方正仿宋_GB2312" w:eastAsia="方正仿宋_GB2312" w:cs="方正仿宋_GB2312"/>
          <w:b w:val="0"/>
          <w:bCs w:val="0"/>
          <w:color w:val="000000"/>
          <w:kern w:val="0"/>
          <w:sz w:val="32"/>
          <w:szCs w:val="32"/>
          <w:lang w:val="en-US" w:eastAsia="zh-CN"/>
        </w:rPr>
        <w:t>公示</w:t>
      </w:r>
      <w:r>
        <w:rPr>
          <w:rFonts w:hint="eastAsia" w:ascii="方正仿宋_GB2312" w:hAnsi="方正仿宋_GB2312" w:eastAsia="方正仿宋_GB2312" w:cs="方正仿宋_GB2312"/>
          <w:b w:val="0"/>
          <w:bCs w:val="0"/>
          <w:color w:val="000000"/>
          <w:kern w:val="0"/>
          <w:sz w:val="32"/>
          <w:szCs w:val="32"/>
        </w:rPr>
        <w:t>5个工作日（节假日除外）。无异议后，上报学工部。</w:t>
      </w:r>
    </w:p>
    <w:p w14:paraId="64334573">
      <w:pPr>
        <w:widowControl/>
        <w:spacing w:line="300" w:lineRule="auto"/>
        <w:ind w:firstLine="640" w:firstLineChars="200"/>
        <w:jc w:val="left"/>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六、报送评审材种类及要求</w:t>
      </w:r>
    </w:p>
    <w:p w14:paraId="626C66F0">
      <w:pPr>
        <w:widowControl/>
        <w:spacing w:line="300" w:lineRule="auto"/>
        <w:ind w:firstLine="640" w:firstLineChars="200"/>
        <w:jc w:val="left"/>
        <w:rPr>
          <w:rFonts w:hint="eastAsia" w:ascii="方正仿宋_GB2312" w:hAnsi="方正仿宋_GB2312" w:eastAsia="方正仿宋_GB2312" w:cs="方正仿宋_GB2312"/>
          <w:b w:val="0"/>
          <w:bCs w:val="0"/>
          <w:color w:val="000000"/>
          <w:kern w:val="0"/>
          <w:sz w:val="32"/>
          <w:szCs w:val="32"/>
        </w:rPr>
      </w:pPr>
      <w:r>
        <w:rPr>
          <w:rFonts w:hint="eastAsia" w:ascii="方正仿宋_GB2312" w:hAnsi="方正仿宋_GB2312" w:eastAsia="方正仿宋_GB2312" w:cs="方正仿宋_GB2312"/>
          <w:b w:val="0"/>
          <w:bCs w:val="0"/>
          <w:color w:val="000000"/>
          <w:kern w:val="0"/>
          <w:sz w:val="32"/>
          <w:szCs w:val="32"/>
        </w:rPr>
        <w:t>1.《国家励志奖学金申请审批表》（一式</w:t>
      </w:r>
      <w:r>
        <w:rPr>
          <w:rFonts w:hint="eastAsia" w:ascii="方正仿宋_GB2312" w:hAnsi="方正仿宋_GB2312" w:eastAsia="方正仿宋_GB2312" w:cs="方正仿宋_GB2312"/>
          <w:b w:val="0"/>
          <w:bCs w:val="0"/>
          <w:color w:val="000000"/>
          <w:kern w:val="0"/>
          <w:sz w:val="32"/>
          <w:szCs w:val="32"/>
          <w:lang w:val="en-US" w:eastAsia="zh-CN"/>
        </w:rPr>
        <w:t>两</w:t>
      </w:r>
      <w:r>
        <w:rPr>
          <w:rFonts w:hint="eastAsia" w:ascii="方正仿宋_GB2312" w:hAnsi="方正仿宋_GB2312" w:eastAsia="方正仿宋_GB2312" w:cs="方正仿宋_GB2312"/>
          <w:b w:val="0"/>
          <w:bCs w:val="0"/>
          <w:color w:val="000000"/>
          <w:kern w:val="0"/>
          <w:sz w:val="32"/>
          <w:szCs w:val="32"/>
        </w:rPr>
        <w:t xml:space="preserve">份），申请理由填写应当全面详实，能够如实反映学生学习成绩优异、社会实践、创新能力、综合素质等方面特别突出。字数控制在200字左右。 </w:t>
      </w:r>
    </w:p>
    <w:p w14:paraId="56BA53B2">
      <w:pPr>
        <w:widowControl/>
        <w:spacing w:line="300" w:lineRule="auto"/>
        <w:ind w:firstLine="640" w:firstLineChars="200"/>
        <w:jc w:val="left"/>
        <w:rPr>
          <w:rFonts w:hint="eastAsia" w:ascii="方正仿宋_GB2312" w:hAnsi="方正仿宋_GB2312" w:eastAsia="方正仿宋_GB2312" w:cs="方正仿宋_GB2312"/>
          <w:b w:val="0"/>
          <w:bCs w:val="0"/>
          <w:color w:val="000000"/>
          <w:kern w:val="0"/>
          <w:sz w:val="32"/>
          <w:szCs w:val="32"/>
        </w:rPr>
      </w:pPr>
      <w:r>
        <w:rPr>
          <w:rFonts w:hint="eastAsia" w:ascii="方正仿宋_GB2312" w:hAnsi="方正仿宋_GB2312" w:eastAsia="方正仿宋_GB2312" w:cs="方正仿宋_GB2312"/>
          <w:b w:val="0"/>
          <w:bCs w:val="0"/>
          <w:color w:val="000000"/>
          <w:kern w:val="0"/>
          <w:sz w:val="32"/>
          <w:szCs w:val="32"/>
        </w:rPr>
        <w:t>2.《国家励志奖学金获奖学生初审名单表》（一式</w:t>
      </w:r>
      <w:r>
        <w:rPr>
          <w:rFonts w:hint="eastAsia" w:ascii="方正仿宋_GB2312" w:hAnsi="方正仿宋_GB2312" w:eastAsia="方正仿宋_GB2312" w:cs="方正仿宋_GB2312"/>
          <w:b w:val="0"/>
          <w:bCs w:val="0"/>
          <w:color w:val="000000"/>
          <w:kern w:val="0"/>
          <w:sz w:val="32"/>
          <w:szCs w:val="32"/>
          <w:lang w:val="en-US" w:eastAsia="zh-CN"/>
        </w:rPr>
        <w:t>两</w:t>
      </w:r>
      <w:r>
        <w:rPr>
          <w:rFonts w:hint="eastAsia" w:ascii="方正仿宋_GB2312" w:hAnsi="方正仿宋_GB2312" w:eastAsia="方正仿宋_GB2312" w:cs="方正仿宋_GB2312"/>
          <w:b w:val="0"/>
          <w:bCs w:val="0"/>
          <w:color w:val="000000"/>
          <w:kern w:val="0"/>
          <w:sz w:val="32"/>
          <w:szCs w:val="32"/>
        </w:rPr>
        <w:t>份），打印版、电子版两种形式以</w:t>
      </w:r>
      <w:r>
        <w:rPr>
          <w:rFonts w:hint="eastAsia" w:ascii="方正仿宋_GB2312" w:hAnsi="方正仿宋_GB2312" w:eastAsia="方正仿宋_GB2312" w:cs="方正仿宋_GB2312"/>
          <w:b w:val="0"/>
          <w:bCs w:val="0"/>
          <w:color w:val="000000"/>
          <w:kern w:val="0"/>
          <w:sz w:val="32"/>
          <w:szCs w:val="32"/>
          <w:lang w:val="en-US" w:eastAsia="zh-CN"/>
        </w:rPr>
        <w:t>二级学院</w:t>
      </w:r>
      <w:r>
        <w:rPr>
          <w:rFonts w:hint="eastAsia" w:ascii="方正仿宋_GB2312" w:hAnsi="方正仿宋_GB2312" w:eastAsia="方正仿宋_GB2312" w:cs="方正仿宋_GB2312"/>
          <w:b w:val="0"/>
          <w:bCs w:val="0"/>
          <w:color w:val="000000"/>
          <w:kern w:val="0"/>
          <w:sz w:val="32"/>
          <w:szCs w:val="32"/>
        </w:rPr>
        <w:t>为单位报送至学工部。各</w:t>
      </w:r>
      <w:r>
        <w:rPr>
          <w:rFonts w:hint="eastAsia" w:ascii="方正仿宋_GB2312" w:hAnsi="方正仿宋_GB2312" w:eastAsia="方正仿宋_GB2312" w:cs="方正仿宋_GB2312"/>
          <w:b w:val="0"/>
          <w:bCs w:val="0"/>
          <w:color w:val="000000"/>
          <w:kern w:val="0"/>
          <w:sz w:val="32"/>
          <w:szCs w:val="32"/>
          <w:lang w:val="en-US" w:eastAsia="zh-CN"/>
        </w:rPr>
        <w:t>二级学院</w:t>
      </w:r>
      <w:r>
        <w:rPr>
          <w:rFonts w:hint="eastAsia" w:ascii="方正仿宋_GB2312" w:hAnsi="方正仿宋_GB2312" w:eastAsia="方正仿宋_GB2312" w:cs="方正仿宋_GB2312"/>
          <w:b w:val="0"/>
          <w:bCs w:val="0"/>
          <w:color w:val="000000"/>
          <w:kern w:val="0"/>
          <w:sz w:val="32"/>
          <w:szCs w:val="32"/>
        </w:rPr>
        <w:t>上报各类纸质材料顺序要与汇总表顺序一致。</w:t>
      </w:r>
    </w:p>
    <w:p w14:paraId="6CDBB712">
      <w:pPr>
        <w:widowControl/>
        <w:spacing w:line="300" w:lineRule="auto"/>
        <w:ind w:firstLine="640" w:firstLineChars="200"/>
        <w:jc w:val="left"/>
        <w:rPr>
          <w:rFonts w:hint="eastAsia" w:ascii="方正仿宋_GB2312" w:hAnsi="方正仿宋_GB2312" w:eastAsia="方正仿宋_GB2312" w:cs="方正仿宋_GB2312"/>
          <w:b w:val="0"/>
          <w:bCs w:val="0"/>
          <w:color w:val="000000"/>
          <w:kern w:val="0"/>
          <w:sz w:val="32"/>
          <w:szCs w:val="32"/>
        </w:rPr>
      </w:pPr>
      <w:r>
        <w:rPr>
          <w:rFonts w:hint="eastAsia" w:ascii="方正仿宋_GB2312" w:hAnsi="方正仿宋_GB2312" w:eastAsia="方正仿宋_GB2312" w:cs="方正仿宋_GB2312"/>
          <w:b w:val="0"/>
          <w:bCs w:val="0"/>
          <w:color w:val="000000"/>
          <w:kern w:val="0"/>
          <w:sz w:val="32"/>
          <w:szCs w:val="32"/>
        </w:rPr>
        <w:t>3.学生成绩单，要求有</w:t>
      </w:r>
      <w:r>
        <w:rPr>
          <w:rFonts w:hint="eastAsia" w:ascii="方正仿宋_GB2312" w:hAnsi="方正仿宋_GB2312" w:eastAsia="方正仿宋_GB2312" w:cs="方正仿宋_GB2312"/>
          <w:b w:val="0"/>
          <w:bCs w:val="0"/>
          <w:color w:val="000000"/>
          <w:kern w:val="0"/>
          <w:sz w:val="32"/>
          <w:szCs w:val="32"/>
          <w:lang w:val="en-US" w:eastAsia="zh-CN"/>
        </w:rPr>
        <w:t>学校</w:t>
      </w:r>
      <w:r>
        <w:rPr>
          <w:rFonts w:hint="eastAsia" w:ascii="方正仿宋_GB2312" w:hAnsi="方正仿宋_GB2312" w:eastAsia="方正仿宋_GB2312" w:cs="方正仿宋_GB2312"/>
          <w:b w:val="0"/>
          <w:bCs w:val="0"/>
          <w:color w:val="000000"/>
          <w:kern w:val="0"/>
          <w:sz w:val="32"/>
          <w:szCs w:val="32"/>
        </w:rPr>
        <w:t>教务</w:t>
      </w:r>
      <w:r>
        <w:rPr>
          <w:rFonts w:hint="eastAsia" w:ascii="方正仿宋_GB2312" w:hAnsi="方正仿宋_GB2312" w:eastAsia="方正仿宋_GB2312" w:cs="方正仿宋_GB2312"/>
          <w:b w:val="0"/>
          <w:bCs w:val="0"/>
          <w:color w:val="000000"/>
          <w:kern w:val="0"/>
          <w:sz w:val="32"/>
          <w:szCs w:val="32"/>
          <w:lang w:val="en-US" w:eastAsia="zh-CN"/>
        </w:rPr>
        <w:t>处相关</w:t>
      </w:r>
      <w:r>
        <w:rPr>
          <w:rFonts w:hint="eastAsia" w:ascii="方正仿宋_GB2312" w:hAnsi="方正仿宋_GB2312" w:eastAsia="方正仿宋_GB2312" w:cs="方正仿宋_GB2312"/>
          <w:b w:val="0"/>
          <w:bCs w:val="0"/>
          <w:color w:val="000000"/>
          <w:kern w:val="0"/>
          <w:sz w:val="32"/>
          <w:szCs w:val="32"/>
        </w:rPr>
        <w:t>负责人签字及</w:t>
      </w:r>
      <w:r>
        <w:rPr>
          <w:rFonts w:hint="eastAsia" w:ascii="方正仿宋_GB2312" w:hAnsi="方正仿宋_GB2312" w:eastAsia="方正仿宋_GB2312" w:cs="方正仿宋_GB2312"/>
          <w:b w:val="0"/>
          <w:bCs w:val="0"/>
          <w:color w:val="000000"/>
          <w:kern w:val="0"/>
          <w:sz w:val="32"/>
          <w:szCs w:val="32"/>
          <w:lang w:val="en-US" w:eastAsia="zh-CN"/>
        </w:rPr>
        <w:t>二级学院</w:t>
      </w:r>
      <w:r>
        <w:rPr>
          <w:rFonts w:hint="eastAsia" w:ascii="方正仿宋_GB2312" w:hAnsi="方正仿宋_GB2312" w:eastAsia="方正仿宋_GB2312" w:cs="方正仿宋_GB2312"/>
          <w:b w:val="0"/>
          <w:bCs w:val="0"/>
          <w:color w:val="000000"/>
          <w:kern w:val="0"/>
          <w:sz w:val="32"/>
          <w:szCs w:val="32"/>
        </w:rPr>
        <w:t>负责人签字，盖</w:t>
      </w:r>
      <w:r>
        <w:rPr>
          <w:rFonts w:hint="eastAsia" w:ascii="方正仿宋_GB2312" w:hAnsi="方正仿宋_GB2312" w:eastAsia="方正仿宋_GB2312" w:cs="方正仿宋_GB2312"/>
          <w:b w:val="0"/>
          <w:bCs w:val="0"/>
          <w:color w:val="000000"/>
          <w:kern w:val="0"/>
          <w:sz w:val="32"/>
          <w:szCs w:val="32"/>
          <w:lang w:val="en-US" w:eastAsia="zh-CN"/>
        </w:rPr>
        <w:t>二级学院</w:t>
      </w:r>
      <w:r>
        <w:rPr>
          <w:rFonts w:hint="eastAsia" w:ascii="方正仿宋_GB2312" w:hAnsi="方正仿宋_GB2312" w:eastAsia="方正仿宋_GB2312" w:cs="方正仿宋_GB2312"/>
          <w:b w:val="0"/>
          <w:bCs w:val="0"/>
          <w:color w:val="000000"/>
          <w:kern w:val="0"/>
          <w:sz w:val="32"/>
          <w:szCs w:val="32"/>
        </w:rPr>
        <w:t>公章。</w:t>
      </w:r>
    </w:p>
    <w:p w14:paraId="03182288">
      <w:pPr>
        <w:widowControl/>
        <w:spacing w:line="300" w:lineRule="auto"/>
        <w:ind w:firstLine="640" w:firstLineChars="200"/>
        <w:jc w:val="left"/>
        <w:rPr>
          <w:rFonts w:hint="eastAsia" w:ascii="方正仿宋_GB2312" w:hAnsi="方正仿宋_GB2312" w:eastAsia="方正仿宋_GB2312" w:cs="方正仿宋_GB2312"/>
          <w:b w:val="0"/>
          <w:bCs w:val="0"/>
          <w:color w:val="000000"/>
          <w:kern w:val="0"/>
          <w:sz w:val="32"/>
          <w:szCs w:val="32"/>
        </w:rPr>
      </w:pPr>
      <w:r>
        <w:rPr>
          <w:rFonts w:hint="eastAsia" w:ascii="方正仿宋_GB2312" w:hAnsi="方正仿宋_GB2312" w:eastAsia="方正仿宋_GB2312" w:cs="方正仿宋_GB2312"/>
          <w:b w:val="0"/>
          <w:bCs w:val="0"/>
          <w:color w:val="000000"/>
          <w:kern w:val="0"/>
          <w:sz w:val="32"/>
          <w:szCs w:val="32"/>
        </w:rPr>
        <w:t>4.贫困证明原件或复印件（贫困证明按学工部下发样表或学生家庭情况调查表填写）。</w:t>
      </w:r>
    </w:p>
    <w:p w14:paraId="1414D7AD">
      <w:pPr>
        <w:spacing w:line="300" w:lineRule="auto"/>
        <w:ind w:firstLine="640" w:firstLineChars="200"/>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kern w:val="0"/>
          <w:sz w:val="32"/>
          <w:szCs w:val="32"/>
        </w:rPr>
        <w:t>5.学生填写申请表时，确保填写内容准确无误，请统一使用电子版填写。照片要粘帖牢固。</w:t>
      </w:r>
    </w:p>
    <w:p w14:paraId="2E5A53FF">
      <w:pPr>
        <w:spacing w:line="300" w:lineRule="auto"/>
        <w:ind w:firstLine="640" w:firstLineChars="200"/>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val="0"/>
          <w:bCs w:val="0"/>
          <w:kern w:val="0"/>
          <w:sz w:val="32"/>
          <w:szCs w:val="32"/>
        </w:rPr>
        <w:t>6</w:t>
      </w:r>
      <w:r>
        <w:rPr>
          <w:rFonts w:hint="eastAsia" w:ascii="方正仿宋_GB2312" w:hAnsi="方正仿宋_GB2312" w:eastAsia="方正仿宋_GB2312" w:cs="方正仿宋_GB2312"/>
          <w:b w:val="0"/>
          <w:bCs w:val="0"/>
          <w:sz w:val="32"/>
          <w:szCs w:val="32"/>
        </w:rPr>
        <w:t>.</w:t>
      </w:r>
      <w:r>
        <w:rPr>
          <w:rFonts w:hint="eastAsia" w:ascii="方正仿宋_GB2312" w:hAnsi="方正仿宋_GB2312" w:eastAsia="方正仿宋_GB2312" w:cs="方正仿宋_GB2312"/>
          <w:b w:val="0"/>
          <w:bCs w:val="0"/>
          <w:kern w:val="0"/>
          <w:sz w:val="32"/>
          <w:szCs w:val="32"/>
        </w:rPr>
        <w:t>材料上报截止时间</w:t>
      </w:r>
      <w:r>
        <w:rPr>
          <w:rFonts w:hint="eastAsia" w:ascii="方正仿宋_GB2312" w:hAnsi="方正仿宋_GB2312" w:eastAsia="方正仿宋_GB2312" w:cs="方正仿宋_GB2312"/>
          <w:b w:val="0"/>
          <w:bCs w:val="0"/>
          <w:kern w:val="0"/>
          <w:sz w:val="32"/>
          <w:szCs w:val="32"/>
          <w:lang w:val="en-US" w:eastAsia="zh-CN"/>
        </w:rPr>
        <w:t>另行通知。</w:t>
      </w:r>
    </w:p>
    <w:p w14:paraId="27A5FE9F">
      <w:pPr>
        <w:widowControl/>
        <w:spacing w:line="300" w:lineRule="auto"/>
        <w:ind w:firstLine="640" w:firstLineChars="200"/>
        <w:jc w:val="left"/>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七、工作要求</w:t>
      </w:r>
    </w:p>
    <w:p w14:paraId="38E15DB9">
      <w:pPr>
        <w:widowControl/>
        <w:spacing w:line="300" w:lineRule="auto"/>
        <w:ind w:firstLine="640" w:firstLineChars="200"/>
        <w:jc w:val="left"/>
        <w:rPr>
          <w:rFonts w:hint="eastAsia" w:ascii="方正仿宋_GB2312" w:hAnsi="方正仿宋_GB2312" w:eastAsia="方正仿宋_GB2312" w:cs="方正仿宋_GB2312"/>
          <w:b w:val="0"/>
          <w:bCs w:val="0"/>
          <w:color w:val="000000"/>
          <w:kern w:val="0"/>
          <w:sz w:val="32"/>
          <w:szCs w:val="32"/>
        </w:rPr>
      </w:pPr>
      <w:r>
        <w:rPr>
          <w:rFonts w:hint="eastAsia" w:ascii="方正仿宋_GB2312" w:hAnsi="方正仿宋_GB2312" w:eastAsia="方正仿宋_GB2312" w:cs="方正仿宋_GB2312"/>
          <w:b w:val="0"/>
          <w:bCs w:val="0"/>
          <w:color w:val="000000"/>
          <w:kern w:val="0"/>
          <w:sz w:val="32"/>
          <w:szCs w:val="32"/>
        </w:rPr>
        <w:t>请各</w:t>
      </w:r>
      <w:r>
        <w:rPr>
          <w:rFonts w:hint="eastAsia" w:ascii="方正仿宋_GB2312" w:hAnsi="方正仿宋_GB2312" w:eastAsia="方正仿宋_GB2312" w:cs="方正仿宋_GB2312"/>
          <w:b w:val="0"/>
          <w:bCs w:val="0"/>
          <w:color w:val="000000"/>
          <w:kern w:val="0"/>
          <w:sz w:val="32"/>
          <w:szCs w:val="32"/>
          <w:lang w:val="en-US" w:eastAsia="zh-CN"/>
        </w:rPr>
        <w:t>二级学院</w:t>
      </w:r>
      <w:r>
        <w:rPr>
          <w:rFonts w:hint="eastAsia" w:ascii="方正仿宋_GB2312" w:hAnsi="方正仿宋_GB2312" w:eastAsia="方正仿宋_GB2312" w:cs="方正仿宋_GB2312"/>
          <w:b w:val="0"/>
          <w:bCs w:val="0"/>
          <w:color w:val="000000"/>
          <w:kern w:val="0"/>
          <w:sz w:val="32"/>
          <w:szCs w:val="32"/>
        </w:rPr>
        <w:t>高度重视国家励志奖学金评审工作，务必将有关要求传达到每位学生及辅导员，同时坚持原则、严格标准、规范程序，提高效率，确保我院国家奖励志学金评审质量和工作进程。</w:t>
      </w:r>
    </w:p>
    <w:p w14:paraId="7E8451C9">
      <w:pPr>
        <w:widowControl/>
        <w:spacing w:line="300" w:lineRule="auto"/>
        <w:ind w:firstLine="640" w:firstLineChars="200"/>
        <w:jc w:val="left"/>
        <w:rPr>
          <w:rFonts w:hint="eastAsia" w:ascii="方正仿宋_GB2312" w:hAnsi="方正仿宋_GB2312" w:eastAsia="方正仿宋_GB2312" w:cs="方正仿宋_GB2312"/>
          <w:b w:val="0"/>
          <w:bCs w:val="0"/>
          <w:kern w:val="0"/>
          <w:sz w:val="32"/>
          <w:szCs w:val="32"/>
        </w:rPr>
      </w:pPr>
      <w:r>
        <w:rPr>
          <w:rFonts w:hint="eastAsia" w:ascii="方正仿宋_GB2312" w:hAnsi="方正仿宋_GB2312" w:eastAsia="方正仿宋_GB2312" w:cs="方正仿宋_GB2312"/>
          <w:b w:val="0"/>
          <w:bCs w:val="0"/>
          <w:kern w:val="0"/>
          <w:sz w:val="32"/>
          <w:szCs w:val="32"/>
        </w:rPr>
        <w:t xml:space="preserve">坚决杜绝弄虚作假行为和不正之风，杜绝一切违反原则的事情发生，一经发现，情况属实，将追究相关人员责任。 </w:t>
      </w:r>
    </w:p>
    <w:p w14:paraId="21C7B959">
      <w:pPr>
        <w:widowControl/>
        <w:spacing w:line="300" w:lineRule="auto"/>
        <w:ind w:firstLine="640" w:firstLineChars="200"/>
        <w:jc w:val="left"/>
        <w:rPr>
          <w:rFonts w:hint="eastAsia" w:ascii="方正仿宋_GB2312" w:hAnsi="方正仿宋_GB2312" w:eastAsia="方正仿宋_GB2312" w:cs="方正仿宋_GB2312"/>
          <w:b w:val="0"/>
          <w:bCs w:val="0"/>
          <w:kern w:val="0"/>
          <w:sz w:val="32"/>
          <w:szCs w:val="32"/>
        </w:rPr>
      </w:pPr>
      <w:r>
        <w:rPr>
          <w:rFonts w:hint="eastAsia" w:ascii="方正仿宋_GB2312" w:hAnsi="方正仿宋_GB2312" w:eastAsia="方正仿宋_GB2312" w:cs="方正仿宋_GB2312"/>
          <w:b w:val="0"/>
          <w:bCs w:val="0"/>
          <w:kern w:val="0"/>
          <w:sz w:val="32"/>
          <w:szCs w:val="32"/>
        </w:rPr>
        <w:t>评审工作要严格、严谨、严肃，要做真、做实，做到零投诉。</w:t>
      </w:r>
    </w:p>
    <w:p w14:paraId="76E47DEB">
      <w:pPr>
        <w:widowControl/>
        <w:spacing w:line="300" w:lineRule="auto"/>
        <w:ind w:firstLine="640" w:firstLineChars="200"/>
        <w:jc w:val="left"/>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八、监督与检查</w:t>
      </w:r>
    </w:p>
    <w:p w14:paraId="1E9E28D2">
      <w:pPr>
        <w:spacing w:line="300" w:lineRule="auto"/>
        <w:ind w:firstLine="1120" w:firstLineChars="350"/>
        <w:rPr>
          <w:rFonts w:hint="eastAsia" w:ascii="方正仿宋_GB2312" w:hAnsi="方正仿宋_GB2312" w:eastAsia="方正仿宋_GB2312" w:cs="方正仿宋_GB2312"/>
          <w:b w:val="0"/>
          <w:bCs w:val="0"/>
          <w:kern w:val="0"/>
          <w:sz w:val="32"/>
          <w:szCs w:val="32"/>
        </w:rPr>
      </w:pPr>
      <w:r>
        <w:rPr>
          <w:rFonts w:hint="eastAsia" w:ascii="方正仿宋_GB2312" w:hAnsi="方正仿宋_GB2312" w:eastAsia="方正仿宋_GB2312" w:cs="方正仿宋_GB2312"/>
          <w:b w:val="0"/>
          <w:bCs w:val="0"/>
          <w:kern w:val="0"/>
          <w:sz w:val="32"/>
          <w:szCs w:val="32"/>
        </w:rPr>
        <w:t>学院对国家励志奖学金评审工作进行监督检查。</w:t>
      </w:r>
    </w:p>
    <w:p w14:paraId="18093283">
      <w:pPr>
        <w:spacing w:line="300" w:lineRule="auto"/>
        <w:ind w:firstLine="1120" w:firstLineChars="350"/>
        <w:rPr>
          <w:rFonts w:hint="default"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val="0"/>
          <w:bCs w:val="0"/>
          <w:sz w:val="32"/>
          <w:szCs w:val="32"/>
        </w:rPr>
        <w:t>设立监督举报电话： 0457-217</w:t>
      </w:r>
      <w:r>
        <w:rPr>
          <w:rFonts w:hint="eastAsia" w:ascii="方正仿宋_GB2312" w:hAnsi="方正仿宋_GB2312" w:eastAsia="方正仿宋_GB2312" w:cs="方正仿宋_GB2312"/>
          <w:b w:val="0"/>
          <w:bCs w:val="0"/>
          <w:sz w:val="32"/>
          <w:szCs w:val="32"/>
          <w:lang w:val="en-US" w:eastAsia="zh-CN"/>
        </w:rPr>
        <w:t>2227</w:t>
      </w:r>
    </w:p>
    <w:p w14:paraId="677165BA">
      <w:pPr>
        <w:spacing w:line="300" w:lineRule="auto"/>
        <w:ind w:firstLine="1120" w:firstLineChars="350"/>
        <w:rPr>
          <w:rFonts w:hint="eastAsia" w:ascii="方正仿宋_GB2312" w:hAnsi="方正仿宋_GB2312" w:eastAsia="方正仿宋_GB2312" w:cs="方正仿宋_GB2312"/>
          <w:b w:val="0"/>
          <w:bCs w:val="0"/>
          <w:sz w:val="32"/>
          <w:szCs w:val="32"/>
        </w:rPr>
      </w:pPr>
    </w:p>
    <w:p w14:paraId="7992E48A">
      <w:pPr>
        <w:spacing w:line="300" w:lineRule="auto"/>
        <w:ind w:firstLine="1120" w:firstLineChars="350"/>
        <w:rPr>
          <w:rFonts w:hint="eastAsia" w:ascii="方正仿宋_GB2312" w:hAnsi="方正仿宋_GB2312" w:eastAsia="方正仿宋_GB2312" w:cs="方正仿宋_GB2312"/>
          <w:b w:val="0"/>
          <w:bCs w:val="0"/>
          <w:sz w:val="32"/>
          <w:szCs w:val="32"/>
        </w:rPr>
      </w:pPr>
    </w:p>
    <w:p w14:paraId="52BAACC3">
      <w:pPr>
        <w:spacing w:line="300" w:lineRule="auto"/>
        <w:ind w:firstLine="1120" w:firstLineChars="350"/>
        <w:rPr>
          <w:rFonts w:hint="eastAsia" w:ascii="方正仿宋_GB2312" w:hAnsi="方正仿宋_GB2312" w:eastAsia="方正仿宋_GB2312" w:cs="方正仿宋_GB2312"/>
          <w:b w:val="0"/>
          <w:bCs w:val="0"/>
          <w:sz w:val="32"/>
          <w:szCs w:val="32"/>
        </w:rPr>
      </w:pPr>
    </w:p>
    <w:p w14:paraId="66A6EEC1">
      <w:pPr>
        <w:spacing w:line="300" w:lineRule="auto"/>
        <w:ind w:firstLine="1120" w:firstLineChars="350"/>
        <w:rPr>
          <w:rFonts w:hint="eastAsia" w:ascii="方正仿宋_GB2312" w:hAnsi="方正仿宋_GB2312" w:eastAsia="方正仿宋_GB2312" w:cs="方正仿宋_GB2312"/>
          <w:b w:val="0"/>
          <w:bCs w:val="0"/>
          <w:sz w:val="32"/>
          <w:szCs w:val="32"/>
        </w:rPr>
      </w:pPr>
    </w:p>
    <w:p w14:paraId="4D8096F3">
      <w:pPr>
        <w:wordWrap w:val="0"/>
        <w:spacing w:line="300" w:lineRule="auto"/>
        <w:jc w:val="right"/>
        <w:rPr>
          <w:rFonts w:hint="default"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val="0"/>
          <w:bCs w:val="0"/>
          <w:sz w:val="32"/>
          <w:szCs w:val="32"/>
          <w:lang w:val="en-US" w:eastAsia="zh-CN"/>
        </w:rPr>
        <w:t xml:space="preserve">大兴安岭职业学院     </w:t>
      </w:r>
    </w:p>
    <w:p w14:paraId="23FB1A85">
      <w:pPr>
        <w:wordWrap w:val="0"/>
        <w:spacing w:line="300" w:lineRule="auto"/>
        <w:jc w:val="right"/>
        <w:rPr>
          <w:rFonts w:hint="default"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val="0"/>
          <w:bCs w:val="0"/>
          <w:sz w:val="32"/>
          <w:szCs w:val="32"/>
          <w:lang w:val="en-US" w:eastAsia="zh-CN"/>
        </w:rPr>
        <w:t xml:space="preserve">2025年10月       </w:t>
      </w:r>
    </w:p>
    <w:p w14:paraId="66E6CAA8">
      <w:pPr>
        <w:spacing w:line="300" w:lineRule="auto"/>
        <w:rPr>
          <w:rFonts w:hint="eastAsia" w:ascii="华文仿宋" w:hAnsi="华文仿宋" w:eastAsia="华文仿宋"/>
          <w:b/>
          <w:sz w:val="32"/>
          <w:szCs w:val="32"/>
        </w:rPr>
      </w:pPr>
    </w:p>
    <w:p w14:paraId="2CB10804"/>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913748-495F-47E5-A470-275FC243D0B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5367746-8DE8-4CF2-9670-E315A9EB539C}"/>
  </w:font>
  <w:font w:name="方正公文小标宋">
    <w:altName w:val="宋体"/>
    <w:panose1 w:val="02000500000000000000"/>
    <w:charset w:val="86"/>
    <w:family w:val="auto"/>
    <w:pitch w:val="default"/>
    <w:sig w:usb0="00000000" w:usb1="00000000"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7ACD7214-1688-4C41-8B1F-65661B60A494}"/>
  </w:font>
  <w:font w:name="方正楷体_GB2312">
    <w:panose1 w:val="02000000000000000000"/>
    <w:charset w:val="86"/>
    <w:family w:val="auto"/>
    <w:pitch w:val="default"/>
    <w:sig w:usb0="A00002BF" w:usb1="184F6CFA" w:usb2="00000012" w:usb3="00000000" w:csb0="00040001" w:csb1="00000000"/>
    <w:embedRegular r:id="rId4" w:fontKey="{1EEFF288-63DA-467A-96D5-3940BD93795D}"/>
  </w:font>
  <w:font w:name="华文仿宋">
    <w:panose1 w:val="02010600040101010101"/>
    <w:charset w:val="86"/>
    <w:family w:val="auto"/>
    <w:pitch w:val="default"/>
    <w:sig w:usb0="00000287" w:usb1="080F0000" w:usb2="00000000" w:usb3="00000000" w:csb0="0004009F" w:csb1="DFD70000"/>
    <w:embedRegular r:id="rId5" w:fontKey="{5B016800-BFB1-4AE8-9D68-0B97335F3A6A}"/>
  </w:font>
  <w:font w:name="WPSEMBED1">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037600"/>
    <w:rsid w:val="48037600"/>
    <w:rsid w:val="7A6D5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1414</Words>
  <Characters>1459</Characters>
  <Lines>0</Lines>
  <Paragraphs>0</Paragraphs>
  <TotalTime>3</TotalTime>
  <ScaleCrop>false</ScaleCrop>
  <LinksUpToDate>false</LinksUpToDate>
  <CharactersWithSpaces>1476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2025-10-10T07:45:00Z</dcterms:created>
  <dc:creator>橘子味的哦羊啊~</dc:creator>
  <cp:lastModifiedBy>橘子味的哦羊啊~</cp:lastModifiedBy>
  <dcterms:modified xsi:type="dcterms:W3CDTF">2025-10-27T07:19:23Z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1DA561B477354517BC5F6AA8BDF7E1DF_11</vt:lpwstr>
  </property>
  <property fmtid="{D5CDD505-2E9C-101B-9397-08002B2CF9AE}" pid="4" name="KSOTemplateDocerSaveRecord">
    <vt:lpwstr>eyJoZGlkIjoiNDMxMDI4YzQwNDE0ZmFmMTgyZGIyMjVlOTZhMTM2NmMiLCJ1c2VySWQiOiI0MTQxOTg2NDgifQ==</vt:lpwstr>
  </property>
</Properties>
</file>