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9FBC4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1"/>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大兴安岭职业学院学生申诉处理办法（暂行）</w:t>
      </w:r>
    </w:p>
    <w:p w14:paraId="709D021F">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eastAsia="仿宋_GB2312"/>
          <w:b/>
          <w:color w:val="000000"/>
          <w:sz w:val="32"/>
          <w:szCs w:val="32"/>
        </w:rPr>
      </w:pPr>
    </w:p>
    <w:p w14:paraId="5BBFAB6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color w:val="000000"/>
          <w:sz w:val="32"/>
          <w:szCs w:val="32"/>
        </w:rPr>
      </w:pPr>
      <w:r>
        <w:rPr>
          <w:rFonts w:hint="eastAsia" w:ascii="黑体" w:hAnsi="黑体" w:eastAsia="黑体" w:cs="黑体"/>
          <w:b w:val="0"/>
          <w:bCs/>
          <w:color w:val="000000"/>
          <w:sz w:val="32"/>
          <w:szCs w:val="32"/>
        </w:rPr>
        <w:t>第一章</w:t>
      </w:r>
      <w:r>
        <w:rPr>
          <w:rFonts w:hint="eastAsia" w:ascii="黑体" w:hAnsi="黑体" w:eastAsia="黑体" w:cs="黑体"/>
          <w:b w:val="0"/>
          <w:bCs/>
          <w:color w:val="000000"/>
          <w:sz w:val="32"/>
          <w:szCs w:val="32"/>
          <w:lang w:val="en-US" w:eastAsia="zh-CN"/>
        </w:rPr>
        <w:t xml:space="preserve">  </w:t>
      </w:r>
      <w:r>
        <w:rPr>
          <w:rFonts w:hint="eastAsia" w:ascii="黑体" w:hAnsi="黑体" w:eastAsia="黑体" w:cs="黑体"/>
          <w:b w:val="0"/>
          <w:bCs/>
          <w:color w:val="000000"/>
          <w:sz w:val="32"/>
          <w:szCs w:val="32"/>
        </w:rPr>
        <w:t>总则</w:t>
      </w:r>
    </w:p>
    <w:p w14:paraId="75AB02C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第一条 为规范学院学生申诉处理行为，保障学生合法权益，维护学院正常的教育教学秩序，根据教育部《普通高等学校学生管理规定》（教育部令第41号）和有关法律法规，结合学院实际，制定本办法。</w:t>
      </w:r>
    </w:p>
    <w:p w14:paraId="3EB3B55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第二条 本办法所称申诉，是指我院学生在涉及本人的取消入学资格、退学处理或者违法、违规、违纪处分（处理）方面的决定有异议，向学院提出申诉的。</w:t>
      </w:r>
    </w:p>
    <w:p w14:paraId="2BE6D4F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第三条</w:t>
      </w: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申诉人必须是大兴安岭职业学院在籍接受普通高等学历教育的专科（高职）学生。</w:t>
      </w:r>
    </w:p>
    <w:p w14:paraId="3E2FBB0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第四条</w:t>
      </w: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申诉人应当本着严肃、认真、诚信的原则提出申诉。</w:t>
      </w:r>
    </w:p>
    <w:p w14:paraId="749A230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第五条</w:t>
      </w: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对学生申诉的处理，应当遵循合法、公正、实事求是和保护申诉人隐私的原则。</w:t>
      </w:r>
    </w:p>
    <w:p w14:paraId="143F322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color w:val="000000"/>
          <w:sz w:val="32"/>
          <w:szCs w:val="32"/>
        </w:rPr>
      </w:pPr>
      <w:r>
        <w:rPr>
          <w:rFonts w:hint="eastAsia" w:ascii="黑体" w:hAnsi="黑体" w:eastAsia="黑体" w:cs="黑体"/>
          <w:b w:val="0"/>
          <w:bCs/>
          <w:color w:val="000000"/>
          <w:sz w:val="32"/>
          <w:szCs w:val="32"/>
        </w:rPr>
        <w:t>第二章</w:t>
      </w:r>
      <w:r>
        <w:rPr>
          <w:rFonts w:hint="eastAsia" w:ascii="黑体" w:hAnsi="黑体" w:eastAsia="黑体" w:cs="黑体"/>
          <w:b w:val="0"/>
          <w:bCs/>
          <w:color w:val="000000"/>
          <w:sz w:val="32"/>
          <w:szCs w:val="32"/>
          <w:lang w:val="en-US" w:eastAsia="zh-CN"/>
        </w:rPr>
        <w:t xml:space="preserve">  </w:t>
      </w:r>
      <w:r>
        <w:rPr>
          <w:rFonts w:hint="eastAsia" w:ascii="黑体" w:hAnsi="黑体" w:eastAsia="黑体" w:cs="黑体"/>
          <w:b w:val="0"/>
          <w:bCs/>
          <w:color w:val="000000"/>
          <w:sz w:val="32"/>
          <w:szCs w:val="32"/>
        </w:rPr>
        <w:t>组织机构</w:t>
      </w:r>
    </w:p>
    <w:p w14:paraId="5BF4396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color w:val="000000"/>
          <w:sz w:val="32"/>
          <w:szCs w:val="32"/>
        </w:rPr>
      </w:pPr>
      <w:r>
        <w:rPr>
          <w:rFonts w:hint="eastAsia" w:ascii="仿宋_GB2312" w:eastAsia="仿宋_GB2312"/>
          <w:color w:val="000000"/>
          <w:sz w:val="32"/>
          <w:szCs w:val="32"/>
        </w:rPr>
        <w:t>第六条</w:t>
      </w: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设立学院学生申诉处理委员会，负责受理和处理学生申诉等相关事宜。</w:t>
      </w:r>
    </w:p>
    <w:p w14:paraId="66307BD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color w:val="000000"/>
          <w:sz w:val="32"/>
          <w:szCs w:val="32"/>
        </w:rPr>
      </w:pPr>
      <w:r>
        <w:rPr>
          <w:rFonts w:hint="eastAsia" w:ascii="仿宋_GB2312" w:eastAsia="仿宋_GB2312"/>
          <w:color w:val="000000"/>
          <w:sz w:val="32"/>
          <w:szCs w:val="32"/>
        </w:rPr>
        <w:t>组  长：</w:t>
      </w:r>
      <w:r>
        <w:rPr>
          <w:rFonts w:hint="eastAsia" w:ascii="仿宋_GB2312" w:eastAsia="仿宋_GB2312"/>
          <w:color w:val="000000"/>
          <w:sz w:val="32"/>
          <w:szCs w:val="32"/>
          <w:lang w:eastAsia="zh-CN"/>
        </w:rPr>
        <w:t>李国兴</w:t>
      </w:r>
    </w:p>
    <w:p w14:paraId="3C2EFE4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color w:val="000000"/>
          <w:sz w:val="32"/>
          <w:szCs w:val="32"/>
          <w:lang w:eastAsia="zh-CN"/>
        </w:rPr>
      </w:pPr>
      <w:r>
        <w:rPr>
          <w:rFonts w:hint="eastAsia" w:ascii="仿宋_GB2312" w:eastAsia="仿宋_GB2312"/>
          <w:color w:val="000000"/>
          <w:sz w:val="32"/>
          <w:szCs w:val="32"/>
        </w:rPr>
        <w:t>副组长：</w:t>
      </w:r>
      <w:r>
        <w:rPr>
          <w:rFonts w:hint="eastAsia" w:ascii="仿宋_GB2312" w:eastAsia="仿宋_GB2312"/>
          <w:color w:val="000000"/>
          <w:sz w:val="32"/>
          <w:szCs w:val="32"/>
          <w:lang w:val="en-US" w:eastAsia="zh-CN"/>
        </w:rPr>
        <w:t>丁  宇</w:t>
      </w:r>
    </w:p>
    <w:p w14:paraId="0FED5D5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color w:val="000000"/>
          <w:sz w:val="32"/>
          <w:szCs w:val="32"/>
          <w:lang w:eastAsia="zh-CN"/>
        </w:rPr>
      </w:pPr>
      <w:r>
        <w:rPr>
          <w:rFonts w:hint="eastAsia" w:ascii="仿宋_GB2312" w:eastAsia="仿宋_GB2312"/>
          <w:color w:val="000000"/>
          <w:sz w:val="32"/>
          <w:szCs w:val="32"/>
        </w:rPr>
        <w:t>成  员：</w:t>
      </w:r>
      <w:r>
        <w:rPr>
          <w:rFonts w:hint="eastAsia" w:ascii="仿宋_GB2312" w:eastAsia="仿宋_GB2312"/>
          <w:color w:val="000000"/>
          <w:sz w:val="32"/>
          <w:szCs w:val="32"/>
          <w:lang w:eastAsia="zh-CN"/>
        </w:rPr>
        <w:t>付继冬、</w:t>
      </w:r>
      <w:r>
        <w:rPr>
          <w:rFonts w:hint="eastAsia" w:ascii="仿宋_GB2312" w:eastAsia="仿宋_GB2312"/>
          <w:color w:val="000000"/>
          <w:sz w:val="32"/>
          <w:szCs w:val="32"/>
          <w:lang w:val="en-US" w:eastAsia="zh-CN"/>
        </w:rPr>
        <w:t>丁言华</w:t>
      </w:r>
      <w:r>
        <w:rPr>
          <w:rFonts w:hint="eastAsia" w:ascii="仿宋_GB2312" w:eastAsia="仿宋_GB2312"/>
          <w:color w:val="000000"/>
          <w:sz w:val="32"/>
          <w:szCs w:val="32"/>
          <w:lang w:eastAsia="zh-CN"/>
        </w:rPr>
        <w:t>、王恩久、</w:t>
      </w:r>
      <w:r>
        <w:rPr>
          <w:rFonts w:hint="eastAsia" w:ascii="仿宋_GB2312" w:eastAsia="仿宋_GB2312"/>
          <w:color w:val="000000"/>
          <w:sz w:val="32"/>
          <w:szCs w:val="32"/>
          <w:lang w:val="en-US" w:eastAsia="zh-CN"/>
        </w:rPr>
        <w:t>赵大勇</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李  玲</w:t>
      </w:r>
    </w:p>
    <w:p w14:paraId="7CB1169B">
      <w:pPr>
        <w:keepNext w:val="0"/>
        <w:keepLines w:val="0"/>
        <w:pageBreakBefore w:val="0"/>
        <w:widowControl w:val="0"/>
        <w:kinsoku/>
        <w:wordWrap/>
        <w:overflowPunct/>
        <w:topLinePunct w:val="0"/>
        <w:autoSpaceDE/>
        <w:autoSpaceDN/>
        <w:bidi w:val="0"/>
        <w:adjustRightInd/>
        <w:snapToGrid/>
        <w:spacing w:line="560" w:lineRule="exact"/>
        <w:ind w:firstLine="1920" w:firstLineChars="600"/>
        <w:jc w:val="both"/>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杨丽红</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许明松</w:t>
      </w:r>
      <w:r>
        <w:rPr>
          <w:rFonts w:hint="eastAsia" w:ascii="仿宋_GB2312" w:eastAsia="仿宋_GB2312"/>
          <w:color w:val="000000"/>
          <w:sz w:val="32"/>
          <w:szCs w:val="32"/>
          <w:lang w:eastAsia="zh-CN"/>
        </w:rPr>
        <w:t>，</w:t>
      </w:r>
      <w:r>
        <w:rPr>
          <w:rFonts w:hint="eastAsia" w:ascii="仿宋_GB2312" w:eastAsia="仿宋_GB2312"/>
          <w:color w:val="000000"/>
          <w:sz w:val="32"/>
          <w:szCs w:val="32"/>
        </w:rPr>
        <w:t>律师代表</w:t>
      </w:r>
      <w:r>
        <w:rPr>
          <w:rFonts w:hint="eastAsia" w:ascii="仿宋_GB2312" w:eastAsia="仿宋_GB2312"/>
          <w:color w:val="000000"/>
          <w:sz w:val="32"/>
          <w:szCs w:val="32"/>
          <w:lang w:eastAsia="zh-CN"/>
        </w:rPr>
        <w:t>、</w:t>
      </w:r>
      <w:r>
        <w:rPr>
          <w:rFonts w:hint="eastAsia" w:ascii="仿宋_GB2312" w:eastAsia="仿宋_GB2312"/>
          <w:color w:val="000000"/>
          <w:sz w:val="32"/>
          <w:szCs w:val="32"/>
        </w:rPr>
        <w:t>教师代表和学生代表</w:t>
      </w:r>
    </w:p>
    <w:p w14:paraId="0E33FF2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color w:val="000000"/>
          <w:sz w:val="32"/>
          <w:szCs w:val="32"/>
        </w:rPr>
      </w:pPr>
    </w:p>
    <w:p w14:paraId="16E9755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color w:val="000000"/>
          <w:sz w:val="32"/>
          <w:szCs w:val="32"/>
        </w:rPr>
      </w:pPr>
      <w:r>
        <w:rPr>
          <w:rFonts w:hint="eastAsia" w:ascii="仿宋_GB2312" w:eastAsia="仿宋_GB2312"/>
          <w:color w:val="000000"/>
          <w:sz w:val="32"/>
          <w:szCs w:val="32"/>
        </w:rPr>
        <w:t>学生申诉处理委员会下设办公室，办公室设在纪检委</w:t>
      </w:r>
      <w:r>
        <w:rPr>
          <w:rFonts w:hint="eastAsia" w:ascii="仿宋_GB2312" w:eastAsia="仿宋_GB2312"/>
          <w:color w:val="000000"/>
          <w:sz w:val="32"/>
          <w:szCs w:val="32"/>
          <w:lang w:eastAsia="zh-CN"/>
        </w:rPr>
        <w:t>（</w:t>
      </w:r>
      <w:r>
        <w:rPr>
          <w:rFonts w:hint="eastAsia" w:ascii="仿宋_GB2312" w:eastAsia="仿宋_GB2312"/>
          <w:color w:val="000000"/>
          <w:sz w:val="32"/>
          <w:szCs w:val="32"/>
        </w:rPr>
        <w:t>监察审计处</w:t>
      </w:r>
      <w:r>
        <w:rPr>
          <w:rFonts w:hint="eastAsia" w:ascii="仿宋_GB2312" w:eastAsia="仿宋_GB2312"/>
          <w:color w:val="000000"/>
          <w:sz w:val="32"/>
          <w:szCs w:val="32"/>
          <w:lang w:eastAsia="zh-CN"/>
        </w:rPr>
        <w:t>）</w:t>
      </w:r>
      <w:r>
        <w:rPr>
          <w:rFonts w:hint="eastAsia" w:ascii="仿宋_GB2312" w:eastAsia="仿宋_GB2312"/>
          <w:color w:val="000000"/>
          <w:sz w:val="32"/>
          <w:szCs w:val="32"/>
        </w:rPr>
        <w:t>：</w:t>
      </w:r>
    </w:p>
    <w:p w14:paraId="5F8C3F4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color w:val="000000"/>
          <w:sz w:val="32"/>
          <w:szCs w:val="32"/>
        </w:rPr>
      </w:pPr>
      <w:r>
        <w:rPr>
          <w:rFonts w:hint="eastAsia" w:ascii="仿宋_GB2312" w:eastAsia="仿宋_GB2312"/>
          <w:color w:val="000000"/>
          <w:sz w:val="32"/>
          <w:szCs w:val="32"/>
        </w:rPr>
        <w:t>主</w:t>
      </w: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任：</w:t>
      </w:r>
      <w:r>
        <w:rPr>
          <w:rFonts w:hint="eastAsia" w:ascii="仿宋_GB2312" w:eastAsia="仿宋_GB2312"/>
          <w:color w:val="000000"/>
          <w:sz w:val="32"/>
          <w:szCs w:val="32"/>
          <w:lang w:eastAsia="zh-CN"/>
        </w:rPr>
        <w:t>付继冬</w:t>
      </w:r>
      <w:r>
        <w:rPr>
          <w:rFonts w:hint="eastAsia" w:ascii="仿宋_GB2312" w:eastAsia="仿宋_GB2312"/>
          <w:color w:val="000000"/>
          <w:sz w:val="32"/>
          <w:szCs w:val="32"/>
        </w:rPr>
        <w:t>(兼)</w:t>
      </w:r>
    </w:p>
    <w:p w14:paraId="1169683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color w:val="000000"/>
          <w:sz w:val="32"/>
          <w:szCs w:val="32"/>
        </w:rPr>
      </w:pPr>
      <w:r>
        <w:rPr>
          <w:rFonts w:hint="eastAsia" w:ascii="仿宋_GB2312" w:eastAsia="仿宋_GB2312"/>
          <w:color w:val="000000"/>
          <w:sz w:val="32"/>
          <w:szCs w:val="32"/>
        </w:rPr>
        <w:t>成</w:t>
      </w: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员：张</w:t>
      </w: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晶</w:t>
      </w:r>
      <w:r>
        <w:rPr>
          <w:rFonts w:hint="eastAsia" w:ascii="仿宋_GB2312" w:eastAsia="仿宋_GB2312"/>
          <w:color w:val="000000"/>
          <w:sz w:val="32"/>
          <w:szCs w:val="32"/>
          <w:lang w:eastAsia="zh-CN"/>
        </w:rPr>
        <w:t>、杨本</w:t>
      </w:r>
      <w:r>
        <w:rPr>
          <w:rFonts w:hint="eastAsia" w:ascii="仿宋_GB2312" w:eastAsia="仿宋_GB2312"/>
          <w:color w:val="000000"/>
          <w:sz w:val="32"/>
          <w:szCs w:val="32"/>
          <w:lang w:val="en-US" w:eastAsia="zh-CN"/>
        </w:rPr>
        <w:t>原</w:t>
      </w:r>
      <w:bookmarkStart w:id="0" w:name="_GoBack"/>
      <w:bookmarkEnd w:id="0"/>
      <w:r>
        <w:rPr>
          <w:rFonts w:hint="eastAsia" w:ascii="仿宋_GB2312" w:eastAsia="仿宋_GB2312"/>
          <w:color w:val="000000"/>
          <w:sz w:val="32"/>
          <w:szCs w:val="32"/>
          <w:lang w:eastAsia="zh-CN"/>
        </w:rPr>
        <w:t>、周欣欣，各二级学院团委书记</w:t>
      </w:r>
      <w:r>
        <w:rPr>
          <w:rFonts w:hint="eastAsia" w:ascii="仿宋_GB2312" w:eastAsia="仿宋_GB2312"/>
          <w:color w:val="000000"/>
          <w:sz w:val="32"/>
          <w:szCs w:val="32"/>
        </w:rPr>
        <w:t xml:space="preserve"> </w:t>
      </w:r>
    </w:p>
    <w:p w14:paraId="3460803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第七条</w:t>
      </w: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学生申诉处理委员会职责：</w:t>
      </w:r>
    </w:p>
    <w:p w14:paraId="3204DAD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（一）受理申诉人的申诉；</w:t>
      </w:r>
    </w:p>
    <w:p w14:paraId="1F5678E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（二）调查审理申诉人申诉事项；</w:t>
      </w:r>
    </w:p>
    <w:p w14:paraId="43FDD61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（三）做出维持、重新审查、更改或撤销学院处分（处理）的决定。</w:t>
      </w:r>
    </w:p>
    <w:p w14:paraId="7A3E366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第八条</w:t>
      </w: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学生申诉处理委员会下设办公室，办公室设在纪检委监察审计处，具体负责处理学生申诉处理委员会日常事务。</w:t>
      </w:r>
    </w:p>
    <w:p w14:paraId="00FC79E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color w:val="000000"/>
          <w:sz w:val="32"/>
          <w:szCs w:val="32"/>
        </w:rPr>
      </w:pPr>
      <w:r>
        <w:rPr>
          <w:rFonts w:hint="eastAsia" w:ascii="黑体" w:hAnsi="黑体" w:eastAsia="黑体" w:cs="黑体"/>
          <w:b w:val="0"/>
          <w:bCs/>
          <w:color w:val="000000"/>
          <w:sz w:val="32"/>
          <w:szCs w:val="32"/>
        </w:rPr>
        <w:t>第三章</w:t>
      </w:r>
      <w:r>
        <w:rPr>
          <w:rFonts w:hint="eastAsia" w:ascii="黑体" w:hAnsi="黑体" w:eastAsia="黑体" w:cs="黑体"/>
          <w:b w:val="0"/>
          <w:bCs/>
          <w:color w:val="000000"/>
          <w:sz w:val="32"/>
          <w:szCs w:val="32"/>
          <w:lang w:val="en-US" w:eastAsia="zh-CN"/>
        </w:rPr>
        <w:t xml:space="preserve">  </w:t>
      </w:r>
      <w:r>
        <w:rPr>
          <w:rFonts w:hint="eastAsia" w:ascii="黑体" w:hAnsi="黑体" w:eastAsia="黑体" w:cs="黑体"/>
          <w:b w:val="0"/>
          <w:bCs/>
          <w:color w:val="000000"/>
          <w:sz w:val="32"/>
          <w:szCs w:val="32"/>
        </w:rPr>
        <w:t>申诉受理范围及条件</w:t>
      </w:r>
    </w:p>
    <w:p w14:paraId="1BA2FDE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第九条 申诉人对下列事项不服的可以在接到学院处理或者处分决定书之日起10日内可以向学院学生申诉处理委员会提出书面申诉：</w:t>
      </w:r>
    </w:p>
    <w:p w14:paraId="44C371C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（一）对学院取消其入学资格不服的；</w:t>
      </w:r>
    </w:p>
    <w:p w14:paraId="060863D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（二）对学院的退学处理决定不服的；</w:t>
      </w:r>
    </w:p>
    <w:p w14:paraId="65FD95F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（三）对学院作出的违法、违规、违纪处分（处理）（含警告、严重警告、记过、留校察看、开除学籍不服的。</w:t>
      </w:r>
    </w:p>
    <w:p w14:paraId="3807B35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第十条 申诉人向学院学生申诉处理委员会提起申诉，须同时满足以下条件：</w:t>
      </w:r>
    </w:p>
    <w:p w14:paraId="31EDDC5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（一）申诉人必须是符合第三条规定范围内的自然人；</w:t>
      </w:r>
    </w:p>
    <w:p w14:paraId="6B650A1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（二）对被申诉人作出的处分（处理）决定不服，属于第九条所列事项之一的；</w:t>
      </w:r>
    </w:p>
    <w:p w14:paraId="011626B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（三）申诉事项是经学院研究做出决定的；</w:t>
      </w:r>
    </w:p>
    <w:p w14:paraId="6D5818B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四）学校申诉处理委员会对学生提出的申诉进行复查，并在接到书面申诉15日内做出复查结论并告知申诉人。情况复杂不能在规定期限内做出结论的经学院负责人批准可以延长15日。学生申诉处理委员会认为必要的可以建议学院暂缓执行有关决定。</w:t>
      </w:r>
    </w:p>
    <w:p w14:paraId="3AB6CEC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第十一条 学生申诉处理委员会经复查，认为做出处理或者处分的事实、依据、程序等存在不当，可以作出建议撤销或变更的复查意见，要求相关职能部门予以研究，重新提交院长办公会或者专门会议作出决定。</w:t>
      </w:r>
    </w:p>
    <w:p w14:paraId="0417786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第十二条</w:t>
      </w: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学生对复查决定有异议的，在接到学院复查决定书之日起</w:t>
      </w:r>
      <w:r>
        <w:rPr>
          <w:rFonts w:ascii="仿宋_GB2312" w:eastAsia="仿宋_GB2312"/>
          <w:color w:val="000000"/>
          <w:sz w:val="32"/>
          <w:szCs w:val="32"/>
        </w:rPr>
        <w:t>15</w:t>
      </w:r>
      <w:r>
        <w:rPr>
          <w:rFonts w:hint="eastAsia" w:ascii="仿宋_GB2312" w:eastAsia="仿宋_GB2312"/>
          <w:color w:val="000000"/>
          <w:sz w:val="32"/>
          <w:szCs w:val="32"/>
        </w:rPr>
        <w:t>日内，可以向学院所在地省级教育行政部门提出书面申诉。</w:t>
      </w:r>
    </w:p>
    <w:p w14:paraId="55B5E87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color w:val="000000"/>
          <w:sz w:val="32"/>
          <w:szCs w:val="32"/>
        </w:rPr>
      </w:pPr>
      <w:r>
        <w:rPr>
          <w:rFonts w:hint="eastAsia" w:ascii="黑体" w:hAnsi="黑体" w:eastAsia="黑体" w:cs="黑体"/>
          <w:b w:val="0"/>
          <w:bCs/>
          <w:color w:val="000000"/>
          <w:sz w:val="32"/>
          <w:szCs w:val="32"/>
        </w:rPr>
        <w:t>第四章</w:t>
      </w:r>
      <w:r>
        <w:rPr>
          <w:rFonts w:hint="eastAsia" w:ascii="黑体" w:hAnsi="黑体" w:eastAsia="黑体" w:cs="黑体"/>
          <w:b w:val="0"/>
          <w:bCs/>
          <w:color w:val="000000"/>
          <w:sz w:val="32"/>
          <w:szCs w:val="32"/>
          <w:lang w:val="en-US" w:eastAsia="zh-CN"/>
        </w:rPr>
        <w:t xml:space="preserve">  </w:t>
      </w:r>
      <w:r>
        <w:rPr>
          <w:rFonts w:hint="eastAsia" w:ascii="黑体" w:hAnsi="黑体" w:eastAsia="黑体" w:cs="黑体"/>
          <w:b w:val="0"/>
          <w:bCs/>
          <w:color w:val="000000"/>
          <w:sz w:val="32"/>
          <w:szCs w:val="32"/>
        </w:rPr>
        <w:t>申诉受理</w:t>
      </w:r>
    </w:p>
    <w:p w14:paraId="1E4A23B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第十三条</w:t>
      </w: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申诉人向学生申诉处理委员会提出申诉，须由本人向学生申诉处理委员会办公室递交以下材料：</w:t>
      </w:r>
    </w:p>
    <w:p w14:paraId="407B90A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（一）申诉人的身份证复印件、学生本人的学籍证明（本人录取三联单复印件并加盖学院公章）；</w:t>
      </w:r>
    </w:p>
    <w:p w14:paraId="3524371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（二）申诉人委托代理人参加申诉的，需要申诉人的委托书和代理人的身份证复印件（查验原件）；</w:t>
      </w:r>
    </w:p>
    <w:p w14:paraId="244A583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（三）申诉书（申诉人基本情况、申诉事由及请求等）</w:t>
      </w:r>
    </w:p>
    <w:p w14:paraId="3985A51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（四）学生申诉处理委员会对申诉人申诉决定书的复印件；</w:t>
      </w:r>
    </w:p>
    <w:p w14:paraId="598B799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（五）申诉人能证明对学院申诉处理委员会作出申诉决定认定是错误的或与事实不符的相关证明。</w:t>
      </w:r>
    </w:p>
    <w:p w14:paraId="0D07B54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第十四条 学生申诉处理委员会办公室接到申诉人申诉申请后在5个工作日内对申诉人提交的材料进行审查。对于符合申诉受理范围和条件，但申诉材料需要补正的，通知申诉人在5个工作日内进行补正。认为申诉人提交材料准确无误并报请学生申诉处理委员会主任下设办公室主任同意后，通知申诉人本人到申诉处理委员会办公室填写学生申诉登记表，申诉人的申诉申请从即日起开始生效。</w:t>
      </w:r>
    </w:p>
    <w:p w14:paraId="05421E7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第十五条 申诉人有下列情形之一的，不予受理：</w:t>
      </w:r>
    </w:p>
    <w:p w14:paraId="484C4ED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（一）不属于申诉范围的；</w:t>
      </w:r>
    </w:p>
    <w:p w14:paraId="408351C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（二）不符合申诉条件的；</w:t>
      </w:r>
    </w:p>
    <w:p w14:paraId="1411123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（三）申诉人提供虚假材料、存在弄虚作假行为的；</w:t>
      </w:r>
    </w:p>
    <w:p w14:paraId="5CA0B17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（四）自动撤回申诉后，在规定期限外又重新提起的；</w:t>
      </w:r>
    </w:p>
    <w:p w14:paraId="275B32B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（五）就同一事由，已经向学生申诉处理委员会申诉并由学生申诉处理委员会作出处理答复的；</w:t>
      </w:r>
    </w:p>
    <w:p w14:paraId="5C2226C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（六）已经就申诉事项提起行政复议或行政诉讼，并被依法受理的；</w:t>
      </w:r>
    </w:p>
    <w:p w14:paraId="3E5DCA0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（七）其他不符合法律、法规以及本办法规定的。</w:t>
      </w:r>
    </w:p>
    <w:p w14:paraId="4D9417F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color w:val="000000"/>
          <w:sz w:val="32"/>
          <w:szCs w:val="32"/>
        </w:rPr>
      </w:pPr>
      <w:r>
        <w:rPr>
          <w:rFonts w:hint="eastAsia" w:ascii="黑体" w:hAnsi="黑体" w:eastAsia="黑体" w:cs="黑体"/>
          <w:b w:val="0"/>
          <w:bCs/>
          <w:color w:val="000000"/>
          <w:sz w:val="32"/>
          <w:szCs w:val="32"/>
        </w:rPr>
        <w:t>第五章</w:t>
      </w:r>
      <w:r>
        <w:rPr>
          <w:rFonts w:hint="eastAsia" w:ascii="黑体" w:hAnsi="黑体" w:eastAsia="黑体" w:cs="黑体"/>
          <w:b w:val="0"/>
          <w:bCs/>
          <w:color w:val="000000"/>
          <w:sz w:val="32"/>
          <w:szCs w:val="32"/>
          <w:lang w:val="en-US" w:eastAsia="zh-CN"/>
        </w:rPr>
        <w:t xml:space="preserve">  </w:t>
      </w:r>
      <w:r>
        <w:rPr>
          <w:rFonts w:hint="eastAsia" w:ascii="黑体" w:hAnsi="黑体" w:eastAsia="黑体" w:cs="黑体"/>
          <w:b w:val="0"/>
          <w:bCs/>
          <w:color w:val="000000"/>
          <w:sz w:val="32"/>
          <w:szCs w:val="32"/>
        </w:rPr>
        <w:t>申诉处理</w:t>
      </w:r>
    </w:p>
    <w:p w14:paraId="51D042A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第十六条</w:t>
      </w: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学生申诉处理委员会对于决定受理的申诉，由学生申诉处理委员会办公室负责组织调查审理工作。申诉处理原则上采取书面审理方式进行，必要时可深入实地调查。</w:t>
      </w:r>
    </w:p>
    <w:p w14:paraId="7782C6F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第十七条</w:t>
      </w: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申诉处理期间，学生申诉处理委员会对申诉事项所涉及的事实、证据、依据、程序等进行调查审理，被申诉人应予以协助配合。</w:t>
      </w:r>
    </w:p>
    <w:p w14:paraId="59C4D20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第十八条</w:t>
      </w: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经审理，学生申诉处理委员会择期召开工作会议，工作会议委员出席人数不得少于三分之二。根据少数服从多数的原则，形成学生申诉处理委员会申诉处理决定。学生申诉处理委员会中与申诉案件有利害关系的人员须回避。</w:t>
      </w:r>
    </w:p>
    <w:p w14:paraId="7F39945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第十九条</w:t>
      </w: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学生申诉处理委员会在受理申诉之日起30个工作日内，作出处理决定。</w:t>
      </w:r>
    </w:p>
    <w:p w14:paraId="751E0AB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（一）认定学院的原处分（处理）决定事实清楚、程序正当、证据充分、依据明确、定性准确、处分适当的，维持原决定；</w:t>
      </w:r>
    </w:p>
    <w:p w14:paraId="72E4D24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（二）认定学院的原处分（处理）决定有下列情况之一的，作出要求学院重新审理、变更或撤销处分（处理）的决定。</w:t>
      </w:r>
    </w:p>
    <w:p w14:paraId="163C99E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1.违法、违规违纪事实不清、证据不足的；</w:t>
      </w:r>
    </w:p>
    <w:p w14:paraId="55F1138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2.适用依据错误的；</w:t>
      </w:r>
    </w:p>
    <w:p w14:paraId="09F0CCF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3.处理程序不正当的。</w:t>
      </w:r>
    </w:p>
    <w:p w14:paraId="6262A60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第二十条 申诉处理期间出现下列情形之一的，学生申诉处理委员会终止申诉处理，并以书面形式答复申诉人：</w:t>
      </w:r>
    </w:p>
    <w:p w14:paraId="02A8C3B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（一）申诉人提起行政复议或者行政诉讼，并被依法受理的；</w:t>
      </w:r>
    </w:p>
    <w:p w14:paraId="08E1DB5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（二）申诉人提出书面申请，自愿撤回申诉的；</w:t>
      </w:r>
    </w:p>
    <w:p w14:paraId="54157A3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第二十一条 学生申诉处理委员会做出处理决定后，应当制作申诉处理决定书</w:t>
      </w:r>
    </w:p>
    <w:p w14:paraId="2D355DF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由学生申诉处理委员会办公室送达处理决定书至申诉人。直接送达有困难的，可采取留置、邮寄、公告等方式送达。</w:t>
      </w:r>
    </w:p>
    <w:p w14:paraId="044B77E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第二十二条</w:t>
      </w: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申诉处理决定书自送达之日起生效。</w:t>
      </w:r>
    </w:p>
    <w:p w14:paraId="38AC5E9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第二十三条</w:t>
      </w: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受理申诉期间，学院处分（处理）决定继续执行。</w:t>
      </w:r>
    </w:p>
    <w:p w14:paraId="6A87B47D">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pPr>
    </w:p>
    <w:sectPr>
      <w:footerReference r:id="rId3" w:type="default"/>
      <w:pgSz w:w="11906" w:h="16838"/>
      <w:pgMar w:top="1984" w:right="1474" w:bottom="1417"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14D8A">
    <w:pPr>
      <w:pStyle w:val="2"/>
      <w:jc w:val="center"/>
    </w:pPr>
    <w:r>
      <w:rPr>
        <w:sz w:val="18"/>
      </w:rP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sdt>
                <w:sdtPr>
                  <w:id w:val="25820459"/>
                  <w:docPartObj>
                    <w:docPartGallery w:val="autotext"/>
                  </w:docPartObj>
                </w:sdtPr>
                <w:sdtContent>
                  <w:p w14:paraId="19511AE2">
                    <w:pPr>
                      <w:pStyle w:val="2"/>
                      <w:jc w:val="center"/>
                    </w:pPr>
                    <w:r>
                      <w:fldChar w:fldCharType="begin"/>
                    </w:r>
                    <w:r>
                      <w:instrText xml:space="preserve"> PAGE   \* MERGEFORMAT </w:instrText>
                    </w:r>
                    <w:r>
                      <w:fldChar w:fldCharType="separate"/>
                    </w:r>
                    <w:r>
                      <w:rPr>
                        <w:lang w:val="zh-CN"/>
                      </w:rPr>
                      <w:t>2</w:t>
                    </w:r>
                    <w:r>
                      <w:rPr>
                        <w:lang w:val="zh-CN"/>
                      </w:rPr>
                      <w:fldChar w:fldCharType="end"/>
                    </w:r>
                  </w:p>
                </w:sdtContent>
              </w:sdt>
              <w:p w14:paraId="662AB1FC"/>
            </w:txbxContent>
          </v:textbox>
        </v:shape>
      </w:pict>
    </w:r>
  </w:p>
  <w:p w14:paraId="22954636">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Q4OWY2MzQ1YThjZWQ0MDJkNmU5ZWQzZDgxZTllZTAifQ=="/>
  </w:docVars>
  <w:rsids>
    <w:rsidRoot w:val="00110D0D"/>
    <w:rsid w:val="00110D0D"/>
    <w:rsid w:val="00247BA3"/>
    <w:rsid w:val="00AC21CE"/>
    <w:rsid w:val="00D20DFF"/>
    <w:rsid w:val="00E73272"/>
    <w:rsid w:val="421B428F"/>
    <w:rsid w:val="4A76395E"/>
    <w:rsid w:val="7E641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3073"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Pages>
  <Words>2333</Words>
  <Characters>2342</Characters>
  <Lines>16</Lines>
  <Paragraphs>4</Paragraphs>
  <TotalTime>1</TotalTime>
  <ScaleCrop>false</ScaleCrop>
  <LinksUpToDate>false</LinksUpToDate>
  <CharactersWithSpaces>2388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2017-09-01T00:45:00Z</dcterms:created>
  <dc:creator>User</dc:creator>
  <cp:lastModifiedBy>Lenovo</cp:lastModifiedBy>
  <dcterms:modified xsi:type="dcterms:W3CDTF">2025-10-29T03:35:50Z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3EBAEC2A0BBB4FD3BB30AAC32EB97755</vt:lpwstr>
  </property>
  <property fmtid="{D5CDD505-2E9C-101B-9397-08002B2CF9AE}" pid="4" name="KSOTemplateDocerSaveRecord">
    <vt:lpwstr>eyJoZGlkIjoiNjJkMzM5ZjQwZDMxZGI3ZTVlNzVhNDY3NDA4NWM0YWUifQ==</vt:lpwstr>
  </property>
</Properties>
</file>